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特克斯县第三小学</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特克斯县第三小学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1.宣传贯彻党的路线、方针、政策，坚持正确的办学方向。</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2.负责党的理论教育研讨工作，指导干部学习党的理论，培养合格的党员干部。</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3.编制学校教学计划，管理，协调教育活动，开展教学情况。</w:t>
      </w:r>
    </w:p>
    <w:p>
      <w:pPr>
        <w:spacing w:line="360" w:lineRule="auto"/>
        <w:ind w:firstLine="544" w:firstLineChars="200"/>
        <w:rPr>
          <w:rStyle w:val="16"/>
          <w:rFonts w:asciiTheme="minorEastAsia" w:hAnsiTheme="minorEastAsia"/>
          <w:bCs w:val="0"/>
          <w:color w:val="FF0000"/>
          <w:spacing w:val="-4"/>
          <w:sz w:val="28"/>
          <w:szCs w:val="28"/>
          <w:highlight w:val="none"/>
        </w:rPr>
      </w:pPr>
      <w:r>
        <w:rPr>
          <w:rStyle w:val="16"/>
          <w:rFonts w:hint="eastAsia" w:ascii="仿宋_GB2312" w:hAnsi="楷体" w:eastAsia="仿宋_GB2312"/>
          <w:b w:val="0"/>
          <w:spacing w:val="-4"/>
          <w:sz w:val="28"/>
          <w:szCs w:val="28"/>
          <w:highlight w:val="none"/>
        </w:rPr>
        <w:t>4.完成全校交办的其他工作。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Theme="minorEastAsia" w:hAnsiTheme="minorEastAsia"/>
          <w:bCs w:val="0"/>
          <w:color w:val="auto"/>
          <w:spacing w:val="-4"/>
          <w:sz w:val="28"/>
          <w:szCs w:val="28"/>
        </w:rPr>
      </w:pPr>
      <w:r>
        <w:rPr>
          <w:rStyle w:val="16"/>
          <w:rFonts w:hint="eastAsia" w:ascii="仿宋_GB2312" w:hAnsi="楷体" w:eastAsia="仿宋_GB2312"/>
          <w:b w:val="0"/>
          <w:color w:val="auto"/>
          <w:spacing w:val="-4"/>
          <w:sz w:val="28"/>
          <w:szCs w:val="28"/>
          <w:lang w:eastAsia="zh-CN"/>
        </w:rPr>
        <w:t>特克斯县第三小学</w:t>
      </w:r>
      <w:r>
        <w:rPr>
          <w:rStyle w:val="16"/>
          <w:rFonts w:hint="eastAsia" w:ascii="仿宋_GB2312" w:hAnsi="楷体" w:eastAsia="仿宋_GB2312"/>
          <w:b w:val="0"/>
          <w:color w:val="auto"/>
          <w:spacing w:val="-4"/>
          <w:sz w:val="28"/>
          <w:szCs w:val="28"/>
        </w:rPr>
        <w:t>无下属预算单位，下设</w:t>
      </w:r>
      <w:r>
        <w:rPr>
          <w:rStyle w:val="16"/>
          <w:rFonts w:hint="eastAsia" w:ascii="仿宋_GB2312" w:hAnsi="楷体" w:eastAsia="仿宋_GB2312"/>
          <w:b w:val="0"/>
          <w:color w:val="auto"/>
          <w:spacing w:val="-4"/>
          <w:sz w:val="28"/>
          <w:szCs w:val="28"/>
          <w:lang w:val="en-US" w:eastAsia="zh-CN"/>
        </w:rPr>
        <w:t>7</w:t>
      </w:r>
      <w:r>
        <w:rPr>
          <w:rStyle w:val="16"/>
          <w:rFonts w:hint="eastAsia" w:ascii="仿宋_GB2312" w:hAnsi="楷体" w:eastAsia="仿宋_GB2312"/>
          <w:b w:val="0"/>
          <w:color w:val="auto"/>
          <w:spacing w:val="-4"/>
          <w:sz w:val="28"/>
          <w:szCs w:val="28"/>
        </w:rPr>
        <w:t>个处室，分别是：办公室、教务处、德育处、教研室、总务处、工会、党建办。</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（2）2021年</w:t>
      </w:r>
      <w:r>
        <w:rPr>
          <w:rStyle w:val="16"/>
          <w:rFonts w:hint="eastAsia" w:ascii="仿宋_GB2312" w:hAnsi="楷体" w:eastAsia="仿宋_GB2312"/>
          <w:b w:val="0"/>
          <w:color w:val="auto"/>
          <w:spacing w:val="-4"/>
          <w:sz w:val="28"/>
          <w:szCs w:val="28"/>
          <w:lang w:eastAsia="zh-CN"/>
        </w:rPr>
        <w:t>特克斯县第三小学</w:t>
      </w:r>
      <w:r>
        <w:rPr>
          <w:rStyle w:val="16"/>
          <w:rFonts w:hint="eastAsia" w:ascii="仿宋_GB2312" w:hAnsi="楷体" w:eastAsia="仿宋_GB2312"/>
          <w:b w:val="0"/>
          <w:color w:val="auto"/>
          <w:spacing w:val="-4"/>
          <w:sz w:val="28"/>
          <w:szCs w:val="28"/>
        </w:rPr>
        <w:t>实有在职人员为</w:t>
      </w:r>
      <w:r>
        <w:rPr>
          <w:rStyle w:val="16"/>
          <w:rFonts w:hint="eastAsia" w:ascii="仿宋_GB2312" w:hAnsi="楷体" w:eastAsia="仿宋_GB2312"/>
          <w:b w:val="0"/>
          <w:color w:val="auto"/>
          <w:spacing w:val="-4"/>
          <w:sz w:val="28"/>
          <w:szCs w:val="28"/>
          <w:lang w:val="en-US" w:eastAsia="zh-CN"/>
        </w:rPr>
        <w:t>123</w:t>
      </w:r>
      <w:r>
        <w:rPr>
          <w:rStyle w:val="16"/>
          <w:rFonts w:hint="eastAsia" w:ascii="仿宋_GB2312" w:hAnsi="楷体" w:eastAsia="仿宋_GB2312"/>
          <w:b w:val="0"/>
          <w:color w:val="auto"/>
          <w:spacing w:val="-4"/>
          <w:sz w:val="28"/>
          <w:szCs w:val="28"/>
        </w:rPr>
        <w:t>人，其中：</w:t>
      </w:r>
    </w:p>
    <w:p>
      <w:pPr>
        <w:spacing w:line="360" w:lineRule="auto"/>
        <w:ind w:firstLine="544" w:firstLineChars="200"/>
        <w:rPr>
          <w:rStyle w:val="16"/>
          <w:rFonts w:hint="eastAsia" w:ascii="仿宋_GB2312" w:hAnsi="楷体" w:eastAsia="仿宋_GB2312"/>
          <w:b w:val="0"/>
          <w:color w:val="auto"/>
          <w:spacing w:val="-4"/>
          <w:sz w:val="28"/>
          <w:szCs w:val="28"/>
          <w:lang w:eastAsia="zh-CN"/>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事业</w:t>
      </w:r>
      <w:r>
        <w:rPr>
          <w:rStyle w:val="16"/>
          <w:rFonts w:hint="eastAsia" w:ascii="仿宋_GB2312" w:hAnsi="楷体" w:eastAsia="仿宋_GB2312"/>
          <w:b w:val="0"/>
          <w:color w:val="auto"/>
          <w:spacing w:val="-4"/>
          <w:sz w:val="28"/>
          <w:szCs w:val="28"/>
        </w:rPr>
        <w:t>在职</w:t>
      </w:r>
      <w:r>
        <w:rPr>
          <w:rStyle w:val="16"/>
          <w:rFonts w:hint="eastAsia" w:ascii="仿宋_GB2312" w:hAnsi="楷体" w:eastAsia="仿宋_GB2312"/>
          <w:b w:val="0"/>
          <w:color w:val="auto"/>
          <w:spacing w:val="-4"/>
          <w:sz w:val="28"/>
          <w:szCs w:val="28"/>
          <w:lang w:val="en-US" w:eastAsia="zh-CN"/>
        </w:rPr>
        <w:t>123</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112</w:t>
      </w:r>
      <w:r>
        <w:rPr>
          <w:rStyle w:val="16"/>
          <w:rFonts w:hint="eastAsia" w:ascii="仿宋_GB2312" w:hAnsi="楷体" w:eastAsia="仿宋_GB2312"/>
          <w:b w:val="0"/>
          <w:color w:val="auto"/>
          <w:spacing w:val="-4"/>
          <w:sz w:val="28"/>
          <w:szCs w:val="28"/>
        </w:rPr>
        <w:t>人），同比上年增加</w:t>
      </w:r>
      <w:r>
        <w:rPr>
          <w:rStyle w:val="16"/>
          <w:rFonts w:hint="eastAsia" w:ascii="仿宋_GB2312" w:hAnsi="楷体" w:eastAsia="仿宋_GB2312"/>
          <w:b w:val="0"/>
          <w:color w:val="auto"/>
          <w:spacing w:val="-4"/>
          <w:sz w:val="28"/>
          <w:szCs w:val="28"/>
          <w:lang w:val="en-US" w:eastAsia="zh-CN"/>
        </w:rPr>
        <w:t>11</w:t>
      </w:r>
      <w:r>
        <w:rPr>
          <w:rStyle w:val="16"/>
          <w:rFonts w:hint="eastAsia" w:ascii="仿宋_GB2312" w:hAnsi="楷体" w:eastAsia="仿宋_GB2312"/>
          <w:b w:val="0"/>
          <w:color w:val="auto"/>
          <w:spacing w:val="-4"/>
          <w:sz w:val="28"/>
          <w:szCs w:val="28"/>
        </w:rPr>
        <w:t>人；</w:t>
      </w:r>
    </w:p>
    <w:p>
      <w:pPr>
        <w:spacing w:line="360" w:lineRule="auto"/>
        <w:ind w:firstLine="544" w:firstLineChars="200"/>
        <w:rPr>
          <w:rStyle w:val="16"/>
          <w:rFonts w:hint="eastAsia" w:ascii="仿宋_GB2312" w:hAnsi="楷体" w:eastAsia="仿宋_GB2312"/>
          <w:b w:val="0"/>
          <w:color w:val="auto"/>
          <w:spacing w:val="-4"/>
          <w:sz w:val="28"/>
          <w:szCs w:val="28"/>
          <w:lang w:eastAsia="zh-CN"/>
        </w:rPr>
      </w:pPr>
      <w:r>
        <w:rPr>
          <w:rStyle w:val="16"/>
          <w:rFonts w:hint="eastAsia" w:ascii="仿宋_GB2312" w:hAnsi="楷体" w:eastAsia="仿宋_GB2312"/>
          <w:b w:val="0"/>
          <w:color w:val="auto"/>
          <w:spacing w:val="-4"/>
          <w:sz w:val="28"/>
          <w:szCs w:val="28"/>
        </w:rPr>
        <w:t>实有离休人员</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6"/>
          <w:rFonts w:hint="eastAsia" w:ascii="仿宋_GB2312" w:hAnsi="楷体" w:eastAsia="仿宋_GB2312"/>
          <w:b w:val="0"/>
          <w:color w:val="auto"/>
          <w:spacing w:val="-4"/>
          <w:sz w:val="28"/>
          <w:szCs w:val="28"/>
        </w:rPr>
        <w:t>与上年一致</w:t>
      </w:r>
      <w:r>
        <w:rPr>
          <w:rStyle w:val="16"/>
          <w:rFonts w:hint="eastAsia" w:ascii="仿宋_GB2312" w:hAnsi="楷体" w:eastAsia="仿宋_GB2312"/>
          <w:b w:val="0"/>
          <w:color w:val="auto"/>
          <w:spacing w:val="-4"/>
          <w:sz w:val="28"/>
          <w:szCs w:val="28"/>
          <w:lang w:eastAsia="zh-CN"/>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实有退休人员</w:t>
      </w:r>
      <w:r>
        <w:rPr>
          <w:rStyle w:val="16"/>
          <w:rFonts w:hint="eastAsia" w:ascii="仿宋_GB2312" w:hAnsi="楷体" w:eastAsia="仿宋_GB2312"/>
          <w:b w:val="0"/>
          <w:color w:val="auto"/>
          <w:spacing w:val="-4"/>
          <w:sz w:val="28"/>
          <w:szCs w:val="28"/>
          <w:lang w:val="en-US" w:eastAsia="zh-CN"/>
        </w:rPr>
        <w:t>102</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101</w:t>
      </w:r>
      <w:r>
        <w:rPr>
          <w:rStyle w:val="16"/>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6"/>
          <w:rFonts w:hint="eastAsia" w:ascii="仿宋_GB2312" w:hAnsi="楷体" w:eastAsia="仿宋_GB2312"/>
          <w:b w:val="0"/>
          <w:color w:val="auto"/>
          <w:spacing w:val="-4"/>
          <w:sz w:val="28"/>
          <w:szCs w:val="28"/>
        </w:rPr>
        <w:t>同比上年增加</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人。</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rPr>
      </w:pPr>
      <w:bookmarkStart w:id="6" w:name="_Toc70450294"/>
      <w:r>
        <w:rPr>
          <w:rStyle w:val="16"/>
          <w:rFonts w:hint="eastAsia" w:ascii="仿宋_GB2312" w:hAnsi="楷体" w:eastAsia="仿宋_GB2312"/>
          <w:b w:val="0"/>
          <w:spacing w:val="-4"/>
          <w:sz w:val="28"/>
          <w:szCs w:val="28"/>
        </w:rPr>
        <w:t>（1）确保人员经费的合理分配。</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（2）完成在职教师工资发放、按时完成社保、公积金缴纳。</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（3）及时完成退休教师取暖费、计生奖励金按时发放。</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（4）完成每年教学任务。全面推进各类教师能力提升培训，加强教师队伍建设。完成好教育教学管理工作。</w:t>
      </w:r>
    </w:p>
    <w:p>
      <w:pPr>
        <w:pStyle w:val="4"/>
        <w:spacing w:line="360" w:lineRule="auto"/>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highlight w:val="yellow"/>
        </w:rPr>
      </w:pPr>
      <w:r>
        <w:rPr>
          <w:rStyle w:val="16"/>
          <w:rFonts w:hint="eastAsia" w:ascii="仿宋_GB2312" w:hAnsi="楷体" w:eastAsia="仿宋_GB2312"/>
          <w:b w:val="0"/>
          <w:spacing w:val="-4"/>
          <w:sz w:val="28"/>
          <w:szCs w:val="28"/>
          <w:highlight w:val="none"/>
        </w:rPr>
        <w:t>2021年批复我</w:t>
      </w:r>
      <w:r>
        <w:rPr>
          <w:rStyle w:val="16"/>
          <w:rFonts w:hint="eastAsia" w:ascii="仿宋_GB2312" w:hAnsi="楷体" w:eastAsia="仿宋_GB2312"/>
          <w:b w:val="0"/>
          <w:spacing w:val="-4"/>
          <w:sz w:val="28"/>
          <w:szCs w:val="28"/>
          <w:highlight w:val="none"/>
          <w:lang w:eastAsia="zh-CN"/>
        </w:rPr>
        <w:t>单位</w:t>
      </w:r>
      <w:r>
        <w:rPr>
          <w:rStyle w:val="16"/>
          <w:rFonts w:hint="eastAsia" w:ascii="仿宋_GB2312" w:hAnsi="楷体" w:eastAsia="仿宋_GB2312"/>
          <w:b w:val="0"/>
          <w:spacing w:val="-4"/>
          <w:sz w:val="28"/>
          <w:szCs w:val="28"/>
          <w:highlight w:val="none"/>
        </w:rPr>
        <w:t>预算为</w:t>
      </w:r>
      <w:r>
        <w:rPr>
          <w:rStyle w:val="16"/>
          <w:rFonts w:hint="eastAsia" w:ascii="仿宋_GB2312" w:hAnsi="楷体" w:eastAsia="仿宋_GB2312"/>
          <w:b w:val="0"/>
          <w:spacing w:val="-4"/>
          <w:sz w:val="28"/>
          <w:szCs w:val="28"/>
          <w:lang w:val="en-US" w:eastAsia="zh-CN"/>
        </w:rPr>
        <w:t>1839.19</w:t>
      </w:r>
      <w:r>
        <w:rPr>
          <w:rStyle w:val="16"/>
          <w:rFonts w:hint="eastAsia" w:ascii="仿宋_GB2312" w:hAnsi="楷体" w:eastAsia="仿宋_GB2312"/>
          <w:b w:val="0"/>
          <w:spacing w:val="-4"/>
          <w:sz w:val="28"/>
          <w:szCs w:val="28"/>
          <w:highlight w:val="none"/>
        </w:rPr>
        <w:t>万元，其中：财政拨款为</w:t>
      </w:r>
      <w:r>
        <w:rPr>
          <w:rStyle w:val="16"/>
          <w:rFonts w:hint="eastAsia" w:ascii="仿宋_GB2312" w:hAnsi="楷体" w:eastAsia="仿宋_GB2312"/>
          <w:b w:val="0"/>
          <w:spacing w:val="-4"/>
          <w:sz w:val="28"/>
          <w:szCs w:val="28"/>
          <w:lang w:val="en-US" w:eastAsia="zh-CN"/>
        </w:rPr>
        <w:t>1839.19</w:t>
      </w:r>
      <w:r>
        <w:rPr>
          <w:rStyle w:val="16"/>
          <w:rFonts w:hint="eastAsia" w:ascii="仿宋_GB2312" w:hAnsi="楷体" w:eastAsia="仿宋_GB2312"/>
          <w:b w:val="0"/>
          <w:spacing w:val="-4"/>
          <w:sz w:val="28"/>
          <w:szCs w:val="28"/>
          <w:highlight w:val="none"/>
        </w:rPr>
        <w:t>万元，年中追加资金</w:t>
      </w:r>
      <w:r>
        <w:rPr>
          <w:rStyle w:val="16"/>
          <w:rFonts w:hint="eastAsia" w:ascii="仿宋_GB2312" w:hAnsi="楷体" w:eastAsia="仿宋_GB2312"/>
          <w:b w:val="0"/>
          <w:spacing w:val="-4"/>
          <w:sz w:val="28"/>
          <w:szCs w:val="28"/>
          <w:highlight w:val="none"/>
          <w:lang w:val="en-US" w:eastAsia="zh-CN"/>
        </w:rPr>
        <w:t>507.39</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调整率</w:t>
      </w:r>
      <w:r>
        <w:rPr>
          <w:rStyle w:val="16"/>
          <w:rFonts w:hint="eastAsia" w:ascii="仿宋_GB2312" w:hAnsi="楷体" w:eastAsia="仿宋_GB2312"/>
          <w:b w:val="0"/>
          <w:spacing w:val="-4"/>
          <w:sz w:val="28"/>
          <w:szCs w:val="28"/>
          <w:highlight w:val="none"/>
          <w:lang w:val="en-US" w:eastAsia="zh-CN"/>
        </w:rPr>
        <w:t>38.10%</w:t>
      </w:r>
      <w:r>
        <w:rPr>
          <w:rStyle w:val="16"/>
          <w:rFonts w:hint="eastAsia" w:ascii="仿宋_GB2312" w:hAnsi="楷体" w:eastAsia="仿宋_GB2312"/>
          <w:b w:val="0"/>
          <w:spacing w:val="-4"/>
          <w:sz w:val="28"/>
          <w:szCs w:val="28"/>
          <w:highlight w:val="none"/>
        </w:rPr>
        <w:t>。对比上年</w:t>
      </w:r>
      <w:r>
        <w:rPr>
          <w:rStyle w:val="16"/>
          <w:rFonts w:hint="eastAsia" w:ascii="仿宋_GB2312" w:hAnsi="楷体" w:eastAsia="仿宋_GB2312"/>
          <w:b w:val="0"/>
          <w:spacing w:val="-4"/>
          <w:sz w:val="28"/>
          <w:szCs w:val="28"/>
          <w:highlight w:val="none"/>
          <w:lang w:val="en-US" w:eastAsia="zh-CN"/>
        </w:rPr>
        <w:t>1703.63</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w:t>
      </w:r>
      <w:r>
        <w:rPr>
          <w:rStyle w:val="16"/>
          <w:rFonts w:hint="eastAsia" w:ascii="仿宋_GB2312" w:hAnsi="楷体" w:eastAsia="仿宋_GB2312"/>
          <w:b w:val="0"/>
          <w:spacing w:val="-4"/>
          <w:sz w:val="28"/>
          <w:szCs w:val="28"/>
          <w:highlight w:val="none"/>
        </w:rPr>
        <w:t>增加</w:t>
      </w:r>
      <w:r>
        <w:rPr>
          <w:rStyle w:val="16"/>
          <w:rFonts w:hint="eastAsia" w:ascii="仿宋_GB2312" w:hAnsi="楷体" w:eastAsia="仿宋_GB2312"/>
          <w:b w:val="0"/>
          <w:spacing w:val="-4"/>
          <w:sz w:val="28"/>
          <w:szCs w:val="28"/>
          <w:highlight w:val="none"/>
          <w:lang w:val="en-US" w:eastAsia="zh-CN"/>
        </w:rPr>
        <w:t>135.56</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7.96</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1839.19</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1839.19</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100.00</w:t>
      </w:r>
      <w:r>
        <w:rPr>
          <w:rStyle w:val="16"/>
          <w:rFonts w:hint="eastAsia" w:ascii="仿宋_GB2312" w:hAnsi="楷体" w:eastAsia="仿宋_GB2312"/>
          <w:b w:val="0"/>
          <w:spacing w:val="-4"/>
          <w:sz w:val="28"/>
          <w:szCs w:val="28"/>
        </w:rPr>
        <w:t>％，主要用于</w:t>
      </w:r>
      <w:r>
        <w:rPr>
          <w:rStyle w:val="16"/>
          <w:rFonts w:hint="eastAsia" w:ascii="仿宋_GB2312" w:hAnsi="楷体" w:eastAsia="仿宋_GB2312"/>
          <w:b w:val="0"/>
          <w:color w:val="auto"/>
          <w:spacing w:val="-4"/>
          <w:sz w:val="28"/>
          <w:szCs w:val="28"/>
        </w:rPr>
        <w:t>本单位机构正</w:t>
      </w:r>
      <w:r>
        <w:rPr>
          <w:rStyle w:val="16"/>
          <w:rFonts w:hint="eastAsia" w:ascii="仿宋_GB2312" w:hAnsi="楷体" w:eastAsia="仿宋_GB2312"/>
          <w:b w:val="0"/>
          <w:spacing w:val="-4"/>
          <w:sz w:val="28"/>
          <w:szCs w:val="28"/>
        </w:rPr>
        <w:t>常运转、完成日常工作任务而发生的各项支出。其中：工资福利支出1578</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63万元，主要用于在职和离退休人员基本工资、津贴补贴等人员经费。商品和服务支出</w:t>
      </w:r>
      <w:r>
        <w:rPr>
          <w:rStyle w:val="16"/>
          <w:rFonts w:hint="eastAsia" w:ascii="仿宋_GB2312" w:hAnsi="楷体" w:eastAsia="仿宋_GB2312"/>
          <w:b w:val="0"/>
          <w:bCs/>
          <w:spacing w:val="-4"/>
          <w:sz w:val="28"/>
          <w:szCs w:val="28"/>
        </w:rPr>
        <w:t>216</w:t>
      </w:r>
      <w:r>
        <w:rPr>
          <w:rStyle w:val="16"/>
          <w:rFonts w:hint="eastAsia" w:ascii="仿宋_GB2312" w:hAnsi="楷体" w:eastAsia="仿宋_GB2312"/>
          <w:b w:val="0"/>
          <w:bCs/>
          <w:spacing w:val="-4"/>
          <w:sz w:val="28"/>
          <w:szCs w:val="28"/>
          <w:lang w:val="en-US" w:eastAsia="zh-CN"/>
        </w:rPr>
        <w:t>.</w:t>
      </w:r>
      <w:r>
        <w:rPr>
          <w:rStyle w:val="16"/>
          <w:rFonts w:hint="eastAsia" w:ascii="仿宋_GB2312" w:hAnsi="楷体" w:eastAsia="仿宋_GB2312"/>
          <w:b w:val="0"/>
          <w:bCs/>
          <w:spacing w:val="-4"/>
          <w:sz w:val="28"/>
          <w:szCs w:val="28"/>
        </w:rPr>
        <w:t>71</w:t>
      </w:r>
      <w:r>
        <w:rPr>
          <w:rStyle w:val="16"/>
          <w:rFonts w:hint="eastAsia" w:ascii="仿宋_GB2312" w:hAnsi="楷体" w:eastAsia="仿宋_GB2312"/>
          <w:b w:val="0"/>
          <w:spacing w:val="-4"/>
          <w:sz w:val="28"/>
          <w:szCs w:val="28"/>
        </w:rPr>
        <w:t>万元，主要用于办公费、印刷费、水电费、办公设备购置等。对个人和家庭的补助43</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85万元，主要用于</w:t>
      </w:r>
      <w:r>
        <w:rPr>
          <w:rStyle w:val="16"/>
          <w:rFonts w:hint="eastAsia" w:ascii="仿宋_GB2312" w:hAnsi="楷体" w:eastAsia="仿宋_GB2312"/>
          <w:b w:val="0"/>
          <w:spacing w:val="-4"/>
          <w:sz w:val="28"/>
          <w:szCs w:val="28"/>
          <w:lang w:eastAsia="zh-CN"/>
        </w:rPr>
        <w:t>退休费、抚恤金、生活补助、遗属补助等</w:t>
      </w: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0.00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color w:val="auto"/>
          <w:spacing w:val="-4"/>
          <w:sz w:val="32"/>
          <w:szCs w:val="32"/>
          <w:lang w:val="en-US" w:eastAsia="zh-CN"/>
        </w:rPr>
      </w:pPr>
      <w:r>
        <w:rPr>
          <w:rStyle w:val="16"/>
          <w:rFonts w:hint="eastAsia" w:ascii="仿宋_GB2312" w:hAnsi="楷体" w:eastAsia="仿宋_GB2312"/>
          <w:b w:val="0"/>
          <w:spacing w:val="-4"/>
          <w:sz w:val="28"/>
          <w:szCs w:val="28"/>
        </w:rPr>
        <w:t>（4）</w:t>
      </w:r>
      <w:r>
        <w:rPr>
          <w:rStyle w:val="16"/>
          <w:rFonts w:hint="eastAsia" w:ascii="仿宋_GB2312" w:hAnsi="楷体" w:eastAsia="仿宋_GB2312"/>
          <w:b w:val="0"/>
          <w:bCs w:val="0"/>
          <w:color w:val="auto"/>
          <w:spacing w:val="-4"/>
          <w:sz w:val="28"/>
          <w:szCs w:val="28"/>
        </w:rPr>
        <w:t>本年度我单位无政府采购预算</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pageBreakBefore w:val="0"/>
        <w:kinsoku/>
        <w:wordWrap/>
        <w:overflowPunct/>
        <w:topLinePunct w:val="0"/>
        <w:autoSpaceDE/>
        <w:autoSpaceDN/>
        <w:bidi w:val="0"/>
        <w:adjustRightInd/>
        <w:spacing w:line="560" w:lineRule="exact"/>
        <w:ind w:firstLine="560" w:firstLineChars="200"/>
        <w:rPr>
          <w:rStyle w:val="16"/>
          <w:rFonts w:hint="eastAsia" w:ascii="仿宋_GB2312" w:eastAsia="仿宋_GB2312"/>
          <w:b w:val="0"/>
          <w:bCs w:val="0"/>
          <w:sz w:val="28"/>
          <w:szCs w:val="36"/>
          <w:lang w:eastAsia="zh-CN"/>
        </w:rPr>
      </w:pPr>
      <w:r>
        <w:rPr>
          <w:rStyle w:val="16"/>
          <w:rFonts w:hint="eastAsia" w:ascii="仿宋_GB2312" w:eastAsia="仿宋_GB2312"/>
          <w:b w:val="0"/>
          <w:bCs w:val="0"/>
          <w:sz w:val="28"/>
          <w:szCs w:val="36"/>
        </w:rPr>
        <w:t>本次</w:t>
      </w:r>
      <w:r>
        <w:rPr>
          <w:rStyle w:val="16"/>
          <w:rFonts w:hint="eastAsia" w:ascii="仿宋_GB2312" w:eastAsia="仿宋_GB2312"/>
          <w:b w:val="0"/>
          <w:bCs w:val="0"/>
          <w:sz w:val="28"/>
          <w:szCs w:val="36"/>
          <w:lang w:eastAsia="zh-CN"/>
        </w:rPr>
        <w:t>单位整体</w:t>
      </w:r>
      <w:r>
        <w:rPr>
          <w:rStyle w:val="16"/>
          <w:rFonts w:hint="eastAsia" w:ascii="仿宋_GB2312" w:eastAsia="仿宋_GB2312"/>
          <w:b w:val="0"/>
          <w:bCs w:val="0"/>
          <w:sz w:val="28"/>
          <w:szCs w:val="36"/>
        </w:rPr>
        <w:t>支出绩效自评采用</w:t>
      </w:r>
      <w:r>
        <w:rPr>
          <w:rStyle w:val="16"/>
          <w:rFonts w:hint="eastAsia" w:ascii="仿宋_GB2312" w:eastAsia="仿宋_GB2312"/>
          <w:b w:val="0"/>
          <w:bCs w:val="0"/>
          <w:sz w:val="28"/>
          <w:szCs w:val="36"/>
          <w:lang w:eastAsia="zh-CN"/>
        </w:rPr>
        <w:t>因素分析法</w:t>
      </w:r>
      <w:r>
        <w:rPr>
          <w:rStyle w:val="16"/>
          <w:rFonts w:hint="eastAsia" w:ascii="仿宋_GB2312" w:eastAsia="仿宋_GB2312"/>
          <w:b w:val="0"/>
          <w:bCs w:val="0"/>
          <w:sz w:val="28"/>
          <w:szCs w:val="36"/>
        </w:rPr>
        <w:t>方法，原因是：</w:t>
      </w:r>
      <w:r>
        <w:rPr>
          <w:rStyle w:val="16"/>
          <w:rFonts w:hint="eastAsia" w:ascii="仿宋_GB2312" w:eastAsia="仿宋_GB2312"/>
          <w:b w:val="0"/>
          <w:bCs w:val="0"/>
          <w:sz w:val="28"/>
          <w:szCs w:val="36"/>
          <w:lang w:val="en-US" w:eastAsia="zh-CN"/>
        </w:rPr>
        <w:t>特克斯县第三小学</w:t>
      </w:r>
      <w:r>
        <w:rPr>
          <w:rStyle w:val="16"/>
          <w:rFonts w:hint="eastAsia" w:ascii="仿宋_GB2312" w:eastAsia="仿宋_GB2312"/>
          <w:b w:val="0"/>
          <w:bCs w:val="0"/>
          <w:sz w:val="28"/>
          <w:szCs w:val="36"/>
          <w:lang w:eastAsia="zh-CN"/>
        </w:rPr>
        <w:t>从数量上确定各因素对分析指标影响方向和影响程度一种方法，运用因素分析法应注意因素关联性、顺序性。</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特克斯县第三小学</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1839.19</w:t>
      </w:r>
      <w:r>
        <w:rPr>
          <w:rStyle w:val="16"/>
          <w:rFonts w:hint="eastAsia" w:ascii="仿宋_GB2312" w:hAnsi="楷体" w:eastAsia="仿宋_GB2312"/>
          <w:b w:val="0"/>
          <w:spacing w:val="-4"/>
          <w:sz w:val="28"/>
          <w:szCs w:val="28"/>
        </w:rPr>
        <w:t>万元，其中：工资福利支出、商品和服务支出、对个人和家庭的补助支出。</w:t>
      </w:r>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spacing w:line="360" w:lineRule="auto"/>
        <w:ind w:firstLine="544" w:firstLineChars="200"/>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60" w:firstLineChars="200"/>
        <w:rPr>
          <w:rStyle w:val="16"/>
          <w:rFonts w:asciiTheme="minorEastAsia" w:hAnsiTheme="minorEastAsia"/>
          <w:color w:val="FF0000"/>
          <w:spacing w:val="-4"/>
          <w:sz w:val="28"/>
          <w:szCs w:val="28"/>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严格按</w:t>
      </w:r>
      <w:r>
        <w:rPr>
          <w:rFonts w:hint="eastAsia" w:ascii="仿宋_GB2312" w:eastAsia="仿宋_GB2312"/>
          <w:sz w:val="28"/>
          <w:szCs w:val="36"/>
        </w:rPr>
        <w:t>照财政部门预算编制与预算调整的工作要求，在预算编制、分配依据充分的条件下，切实做好“先定目标再编预算”，确保预算分配结果合理。同时按照</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财政局</w:t>
      </w:r>
      <w:r>
        <w:rPr>
          <w:rFonts w:hint="eastAsia" w:ascii="仿宋_GB2312" w:eastAsia="仿宋_GB2312"/>
          <w:sz w:val="28"/>
          <w:szCs w:val="36"/>
        </w:rPr>
        <w:t>要求，部门预算及绩效目标在</w:t>
      </w:r>
      <w:r>
        <w:rPr>
          <w:rStyle w:val="16"/>
          <w:rFonts w:hint="eastAsia" w:ascii="仿宋_GB2312" w:hAnsi="楷体" w:eastAsia="仿宋_GB2312"/>
          <w:b w:val="0"/>
          <w:spacing w:val="-4"/>
          <w:sz w:val="28"/>
          <w:szCs w:val="28"/>
        </w:rPr>
        <w:t>特克斯县人民政府政务网站公开，</w:t>
      </w:r>
      <w:r>
        <w:rPr>
          <w:rStyle w:val="16"/>
          <w:rFonts w:hint="eastAsia" w:ascii="仿宋_GB2312" w:hAnsi="楷体" w:eastAsia="仿宋_GB2312"/>
          <w:b w:val="0"/>
          <w:spacing w:val="-4"/>
          <w:sz w:val="28"/>
          <w:szCs w:val="28"/>
          <w:lang w:val="zh-CN"/>
        </w:rPr>
        <w:t>广泛接受社会监督。</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bookmarkStart w:id="14" w:name="_Toc70450301"/>
      <w:r>
        <w:rPr>
          <w:rFonts w:hint="eastAsia" w:ascii="仿宋_GB2312" w:eastAsia="仿宋_GB2312"/>
          <w:sz w:val="28"/>
          <w:szCs w:val="36"/>
          <w:lang w:eastAsia="zh-CN"/>
        </w:rPr>
        <w:t>特克斯县第三小学</w:t>
      </w:r>
      <w:r>
        <w:rPr>
          <w:rFonts w:hint="eastAsia" w:ascii="仿宋_GB2312" w:eastAsia="仿宋_GB2312"/>
          <w:sz w:val="28"/>
          <w:szCs w:val="36"/>
        </w:rPr>
        <w:t>按照财政要求基本支出分月度申报资金使用计划，由财政部门按照进度每月按期拨付，人员支出按照工资计划发放工资；依照特克斯县第</w:t>
      </w:r>
      <w:r>
        <w:rPr>
          <w:rFonts w:hint="eastAsia" w:ascii="仿宋_GB2312" w:eastAsia="仿宋_GB2312"/>
          <w:sz w:val="28"/>
          <w:szCs w:val="36"/>
          <w:lang w:eastAsia="zh-CN"/>
        </w:rPr>
        <w:t>三</w:t>
      </w:r>
      <w:r>
        <w:rPr>
          <w:rFonts w:hint="eastAsia" w:ascii="仿宋_GB2312" w:eastAsia="仿宋_GB2312"/>
          <w:sz w:val="28"/>
          <w:szCs w:val="36"/>
        </w:rPr>
        <w:t>小学《财务管理制度》相关规定和特克斯县第</w:t>
      </w:r>
      <w:r>
        <w:rPr>
          <w:rFonts w:hint="eastAsia" w:ascii="仿宋_GB2312" w:eastAsia="仿宋_GB2312"/>
          <w:sz w:val="28"/>
          <w:szCs w:val="36"/>
          <w:lang w:eastAsia="zh-CN"/>
        </w:rPr>
        <w:t>三</w:t>
      </w:r>
      <w:r>
        <w:rPr>
          <w:rFonts w:hint="eastAsia" w:ascii="仿宋_GB2312" w:eastAsia="仿宋_GB2312"/>
          <w:sz w:val="28"/>
          <w:szCs w:val="36"/>
        </w:rPr>
        <w:t>小学《财务管理制度》规定流程，资金支出按照我内控体系中设定的流程申报审批进行；项目支出属于政府采购的，按照局特克斯县第</w:t>
      </w:r>
      <w:r>
        <w:rPr>
          <w:rFonts w:hint="eastAsia" w:ascii="仿宋_GB2312" w:eastAsia="仿宋_GB2312"/>
          <w:sz w:val="28"/>
          <w:szCs w:val="36"/>
          <w:lang w:eastAsia="zh-CN"/>
        </w:rPr>
        <w:t>三</w:t>
      </w:r>
      <w:r>
        <w:rPr>
          <w:rFonts w:hint="eastAsia" w:ascii="仿宋_GB2312" w:eastAsia="仿宋_GB2312"/>
          <w:sz w:val="28"/>
          <w:szCs w:val="36"/>
        </w:rPr>
        <w:t>小学《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1839.19</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1839.19</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1839.19</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100.00</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eastAsia="zh-CN"/>
        </w:rPr>
        <w:t>1578.63</w:t>
      </w:r>
      <w:r>
        <w:rPr>
          <w:rStyle w:val="16"/>
          <w:rFonts w:hint="eastAsia" w:ascii="仿宋_GB2312" w:hAnsi="楷体" w:eastAsia="仿宋_GB2312"/>
          <w:b w:val="0"/>
          <w:spacing w:val="-4"/>
          <w:sz w:val="28"/>
          <w:szCs w:val="28"/>
        </w:rPr>
        <w:t>万元、商品和服务支出216</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71万元、对个人和家庭的补助43</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85万元、主要用于</w:t>
      </w:r>
      <w:r>
        <w:rPr>
          <w:rStyle w:val="16"/>
          <w:rFonts w:hint="eastAsia" w:ascii="仿宋_GB2312" w:hAnsi="楷体" w:eastAsia="仿宋_GB2312"/>
          <w:b w:val="0"/>
          <w:color w:val="auto"/>
          <w:spacing w:val="-4"/>
          <w:sz w:val="28"/>
          <w:szCs w:val="28"/>
        </w:rPr>
        <w:t>本单位</w:t>
      </w:r>
      <w:r>
        <w:rPr>
          <w:rStyle w:val="16"/>
          <w:rFonts w:hint="eastAsia" w:ascii="仿宋_GB2312" w:hAnsi="楷体" w:eastAsia="仿宋_GB2312"/>
          <w:b w:val="0"/>
          <w:spacing w:val="-4"/>
          <w:sz w:val="28"/>
          <w:szCs w:val="28"/>
        </w:rPr>
        <w:t>人员工资支出，办公费、印刷费、水电费、办公设备购置等。资本性支出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2021年基本支出比上年</w:t>
      </w:r>
      <w:r>
        <w:rPr>
          <w:rStyle w:val="16"/>
          <w:rFonts w:hint="eastAsia" w:ascii="仿宋_GB2312" w:hAnsi="楷体" w:eastAsia="仿宋_GB2312"/>
          <w:b w:val="0"/>
          <w:color w:val="auto"/>
          <w:spacing w:val="-4"/>
          <w:sz w:val="28"/>
          <w:szCs w:val="28"/>
          <w:highlight w:val="none"/>
          <w:lang w:val="en-US" w:eastAsia="zh-CN"/>
        </w:rPr>
        <w:t>1703.63</w:t>
      </w:r>
      <w:r>
        <w:rPr>
          <w:rStyle w:val="16"/>
          <w:rFonts w:hint="eastAsia" w:ascii="仿宋_GB2312" w:hAnsi="楷体" w:eastAsia="仿宋_GB2312"/>
          <w:b w:val="0"/>
          <w:color w:val="auto"/>
          <w:spacing w:val="-4"/>
          <w:sz w:val="28"/>
          <w:szCs w:val="28"/>
          <w:highlight w:val="none"/>
        </w:rPr>
        <w:t>万元,增加</w:t>
      </w:r>
      <w:r>
        <w:rPr>
          <w:rStyle w:val="16"/>
          <w:rFonts w:hint="eastAsia" w:ascii="仿宋_GB2312" w:hAnsi="楷体" w:eastAsia="仿宋_GB2312"/>
          <w:b w:val="0"/>
          <w:color w:val="auto"/>
          <w:spacing w:val="-4"/>
          <w:sz w:val="28"/>
          <w:szCs w:val="28"/>
          <w:highlight w:val="none"/>
          <w:lang w:val="en-US" w:eastAsia="zh-CN"/>
        </w:rPr>
        <w:t>135.56</w:t>
      </w:r>
      <w:r>
        <w:rPr>
          <w:rStyle w:val="16"/>
          <w:rFonts w:hint="eastAsia" w:ascii="仿宋_GB2312" w:hAnsi="楷体" w:eastAsia="仿宋_GB2312"/>
          <w:b w:val="0"/>
          <w:color w:val="auto"/>
          <w:spacing w:val="-4"/>
          <w:sz w:val="28"/>
          <w:szCs w:val="28"/>
          <w:highlight w:val="none"/>
        </w:rPr>
        <w:t>万元，上升</w:t>
      </w:r>
      <w:r>
        <w:rPr>
          <w:rStyle w:val="16"/>
          <w:rFonts w:hint="eastAsia" w:ascii="仿宋_GB2312" w:hAnsi="楷体" w:eastAsia="仿宋_GB2312"/>
          <w:b w:val="0"/>
          <w:color w:val="auto"/>
          <w:spacing w:val="-4"/>
          <w:sz w:val="28"/>
          <w:szCs w:val="28"/>
          <w:highlight w:val="none"/>
          <w:lang w:val="en-US" w:eastAsia="zh-CN"/>
        </w:rPr>
        <w:t>7.96</w:t>
      </w:r>
      <w:r>
        <w:rPr>
          <w:rStyle w:val="16"/>
          <w:rFonts w:hint="eastAsia" w:ascii="仿宋_GB2312" w:hAnsi="楷体" w:eastAsia="仿宋_GB2312"/>
          <w:b w:val="0"/>
          <w:color w:val="auto"/>
          <w:spacing w:val="-4"/>
          <w:sz w:val="28"/>
          <w:szCs w:val="28"/>
          <w:highlight w:val="none"/>
        </w:rPr>
        <w:t>%，支出上升的主要原因是</w:t>
      </w:r>
      <w:r>
        <w:rPr>
          <w:rStyle w:val="16"/>
          <w:rFonts w:hint="eastAsia" w:ascii="仿宋_GB2312" w:hAnsi="楷体" w:eastAsia="仿宋_GB2312"/>
          <w:b w:val="0"/>
          <w:color w:val="auto"/>
          <w:spacing w:val="-4"/>
          <w:sz w:val="28"/>
          <w:szCs w:val="28"/>
          <w:highlight w:val="none"/>
          <w:lang w:eastAsia="zh-CN"/>
        </w:rPr>
        <w:t>人员调整，特岗入编，</w:t>
      </w:r>
      <w:r>
        <w:rPr>
          <w:rStyle w:val="16"/>
          <w:rFonts w:hint="eastAsia" w:ascii="仿宋_GB2312" w:hAnsi="楷体" w:eastAsia="仿宋_GB2312"/>
          <w:b w:val="0"/>
          <w:color w:val="auto"/>
          <w:spacing w:val="-4"/>
          <w:sz w:val="28"/>
          <w:szCs w:val="28"/>
          <w:highlight w:val="none"/>
        </w:rPr>
        <w:t>人数增加，兑现了部分人员职称工资</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2021年3月绩效调标</w:t>
      </w:r>
      <w:r>
        <w:rPr>
          <w:rStyle w:val="16"/>
          <w:rFonts w:hint="eastAsia" w:ascii="仿宋_GB2312" w:hAnsi="楷体" w:eastAsia="仿宋_GB2312"/>
          <w:b w:val="0"/>
          <w:color w:val="auto"/>
          <w:spacing w:val="-4"/>
          <w:sz w:val="28"/>
          <w:szCs w:val="28"/>
          <w:highlight w:val="none"/>
          <w:lang w:eastAsia="zh-CN"/>
        </w:rPr>
        <w:t>，发放</w:t>
      </w:r>
      <w:r>
        <w:rPr>
          <w:rStyle w:val="16"/>
          <w:rFonts w:hint="eastAsia" w:ascii="仿宋_GB2312" w:hAnsi="楷体" w:eastAsia="仿宋_GB2312"/>
          <w:b w:val="0"/>
          <w:color w:val="auto"/>
          <w:spacing w:val="-4"/>
          <w:sz w:val="28"/>
          <w:szCs w:val="28"/>
          <w:highlight w:val="none"/>
          <w:lang w:val="en-US" w:eastAsia="zh-CN"/>
        </w:rPr>
        <w:t>2018年.2020年绩效奖金及2020年综合治理奖</w:t>
      </w:r>
      <w:r>
        <w:rPr>
          <w:rStyle w:val="16"/>
          <w:rFonts w:hint="eastAsia" w:ascii="仿宋_GB2312" w:hAnsi="楷体" w:eastAsia="仿宋_GB2312"/>
          <w:b w:val="0"/>
          <w:color w:val="auto"/>
          <w:spacing w:val="-4"/>
          <w:sz w:val="28"/>
          <w:szCs w:val="28"/>
          <w:highlight w:val="none"/>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：我单位未安排三公经费预算</w:t>
      </w:r>
      <w:r>
        <w:rPr>
          <w:rStyle w:val="16"/>
          <w:rFonts w:hint="eastAsia" w:ascii="仿宋_GB2312" w:hAnsi="楷体" w:eastAsia="仿宋_GB2312"/>
          <w:b w:val="0"/>
          <w:spacing w:val="-4"/>
          <w:sz w:val="28"/>
          <w:szCs w:val="28"/>
        </w:rPr>
        <w:t>；公务用车购置费为0</w:t>
      </w:r>
      <w:r>
        <w:rPr>
          <w:rStyle w:val="16"/>
          <w:rFonts w:hint="eastAsia" w:ascii="仿宋_GB2312" w:hAnsi="楷体" w:eastAsia="仿宋_GB2312"/>
          <w:b w:val="0"/>
          <w:spacing w:val="-4"/>
          <w:sz w:val="28"/>
          <w:szCs w:val="28"/>
          <w:lang w:eastAsia="zh-CN"/>
        </w:rPr>
        <w:t>万元</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2021年我单位</w:t>
      </w:r>
      <w:r>
        <w:rPr>
          <w:rStyle w:val="16"/>
          <w:rFonts w:hint="eastAsia" w:ascii="仿宋_GB2312" w:hAnsi="楷体" w:eastAsia="仿宋_GB2312"/>
          <w:b w:val="0"/>
          <w:spacing w:val="-4"/>
          <w:sz w:val="28"/>
          <w:szCs w:val="28"/>
        </w:rPr>
        <w:t>未安排预算。公务用车运行费增加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2021年</w:t>
      </w:r>
      <w:r>
        <w:rPr>
          <w:rStyle w:val="16"/>
          <w:rFonts w:hint="eastAsia" w:ascii="仿宋_GB2312" w:hAnsi="楷体" w:eastAsia="仿宋_GB2312"/>
          <w:b w:val="0"/>
          <w:spacing w:val="-4"/>
          <w:sz w:val="28"/>
          <w:szCs w:val="28"/>
          <w:lang w:eastAsia="zh-CN"/>
        </w:rPr>
        <w:t>我单位未安排预算</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2021年</w:t>
      </w:r>
      <w:r>
        <w:rPr>
          <w:rStyle w:val="16"/>
          <w:rFonts w:hint="eastAsia" w:ascii="仿宋_GB2312" w:hAnsi="楷体" w:eastAsia="仿宋_GB2312"/>
          <w:b w:val="0"/>
          <w:spacing w:val="-4"/>
          <w:sz w:val="28"/>
          <w:szCs w:val="28"/>
          <w:lang w:eastAsia="zh-CN"/>
        </w:rPr>
        <w:t>我单位未安排预算</w:t>
      </w:r>
      <w:r>
        <w:rPr>
          <w:rStyle w:val="16"/>
          <w:rFonts w:hint="eastAsia" w:ascii="仿宋_GB2312" w:hAnsi="楷体" w:eastAsia="仿宋_GB2312"/>
          <w:b w:val="0"/>
          <w:spacing w:val="-4"/>
          <w:sz w:val="28"/>
          <w:szCs w:val="28"/>
        </w:rPr>
        <w:t>。</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Fonts w:hint="eastAsia"/>
        </w:rPr>
        <w:t xml:space="preserve"> </w:t>
      </w:r>
      <w:r>
        <w:rPr>
          <w:rStyle w:val="16"/>
          <w:rFonts w:hint="eastAsia" w:ascii="仿宋_GB2312" w:hAnsi="楷体" w:eastAsia="仿宋_GB2312"/>
          <w:b w:val="0"/>
          <w:spacing w:val="-4"/>
          <w:sz w:val="28"/>
          <w:szCs w:val="28"/>
        </w:rPr>
        <w:t>到位率</w:t>
      </w:r>
      <w:r>
        <w:rPr>
          <w:rStyle w:val="16"/>
          <w:rFonts w:hint="eastAsia" w:ascii="仿宋_GB2312" w:hAnsi="楷体" w:eastAsia="仿宋_GB2312"/>
          <w:b w:val="0"/>
          <w:spacing w:val="-4"/>
          <w:sz w:val="28"/>
          <w:szCs w:val="28"/>
          <w:lang w:val="en-US" w:eastAsia="zh-CN"/>
        </w:rPr>
        <w:t>0.00</w:t>
      </w:r>
      <w:r>
        <w:rPr>
          <w:rStyle w:val="16"/>
          <w:rFonts w:hint="eastAsia" w:ascii="仿宋_GB2312" w:hAnsi="楷体" w:eastAsia="仿宋_GB2312"/>
          <w:b w:val="0"/>
          <w:spacing w:val="-4"/>
          <w:sz w:val="28"/>
          <w:szCs w:val="28"/>
        </w:rPr>
        <w:t>％,其中:中央转移支付项目资金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万元，本级安排</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0.00</w:t>
      </w:r>
      <w:r>
        <w:rPr>
          <w:rStyle w:val="16"/>
          <w:rFonts w:hint="eastAsia" w:ascii="仿宋_GB2312" w:hAnsi="楷体" w:eastAsia="仿宋_GB2312"/>
          <w:b w:val="0"/>
          <w:spacing w:val="-4"/>
          <w:sz w:val="28"/>
          <w:szCs w:val="28"/>
        </w:rPr>
        <w:t>%，其中2021年专项项目支出比上年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0.00</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2021年</w:t>
      </w:r>
      <w:r>
        <w:rPr>
          <w:rStyle w:val="16"/>
          <w:rFonts w:hint="eastAsia" w:ascii="仿宋_GB2312" w:hAnsi="楷体" w:eastAsia="仿宋_GB2312"/>
          <w:b w:val="0"/>
          <w:spacing w:val="-4"/>
          <w:sz w:val="28"/>
          <w:szCs w:val="28"/>
          <w:lang w:eastAsia="zh-CN"/>
        </w:rPr>
        <w:t>我单位未安排资金支出</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highlight w:val="none"/>
        </w:rPr>
        <w:t>一是制</w:t>
      </w:r>
      <w:r>
        <w:rPr>
          <w:rStyle w:val="16"/>
          <w:rFonts w:hint="eastAsia" w:ascii="仿宋_GB2312" w:hAnsi="楷体" w:eastAsia="仿宋_GB2312"/>
          <w:b w:val="0"/>
          <w:spacing w:val="-4"/>
          <w:sz w:val="28"/>
          <w:szCs w:val="28"/>
        </w:rPr>
        <w:t>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（1）制定了特克斯县</w:t>
      </w:r>
      <w:r>
        <w:rPr>
          <w:rStyle w:val="16"/>
          <w:rFonts w:hint="eastAsia" w:ascii="仿宋_GB2312" w:hAnsi="楷体" w:eastAsia="仿宋_GB2312"/>
          <w:b w:val="0"/>
          <w:spacing w:val="-4"/>
          <w:sz w:val="28"/>
          <w:szCs w:val="28"/>
          <w:lang w:eastAsia="zh-CN"/>
        </w:rPr>
        <w:t>第三小学</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）建立特克斯县</w:t>
      </w:r>
      <w:r>
        <w:rPr>
          <w:rStyle w:val="16"/>
          <w:rFonts w:hint="eastAsia" w:ascii="仿宋_GB2312" w:hAnsi="楷体" w:eastAsia="仿宋_GB2312"/>
          <w:b w:val="0"/>
          <w:spacing w:val="-4"/>
          <w:sz w:val="28"/>
          <w:szCs w:val="28"/>
          <w:lang w:eastAsia="zh-CN"/>
        </w:rPr>
        <w:t>第三小学</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（3）制订了特克斯县</w:t>
      </w:r>
      <w:r>
        <w:rPr>
          <w:rStyle w:val="16"/>
          <w:rFonts w:hint="eastAsia" w:ascii="仿宋_GB2312" w:hAnsi="楷体" w:eastAsia="仿宋_GB2312"/>
          <w:b w:val="0"/>
          <w:spacing w:val="-4"/>
          <w:sz w:val="28"/>
          <w:szCs w:val="28"/>
          <w:lang w:eastAsia="zh-CN"/>
        </w:rPr>
        <w:t>第三小学</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val="en-US" w:eastAsia="zh-CN"/>
        </w:rPr>
        <w:t>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（4）认真组织特克斯县</w:t>
      </w:r>
      <w:r>
        <w:rPr>
          <w:rStyle w:val="16"/>
          <w:rFonts w:hint="eastAsia" w:ascii="仿宋_GB2312" w:hAnsi="楷体" w:eastAsia="仿宋_GB2312"/>
          <w:b w:val="0"/>
          <w:spacing w:val="-4"/>
          <w:sz w:val="28"/>
          <w:szCs w:val="28"/>
          <w:lang w:eastAsia="zh-CN"/>
        </w:rPr>
        <w:t>第三小学</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val="en-US" w:eastAsia="zh-CN"/>
        </w:rPr>
        <w:t>项目顺利进行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w:t>
      </w:r>
      <w:r>
        <w:rPr>
          <w:rStyle w:val="16"/>
          <w:rFonts w:hint="eastAsia" w:ascii="仿宋_GB2312" w:hAnsi="楷体" w:eastAsia="仿宋_GB2312"/>
          <w:b w:val="0"/>
          <w:spacing w:val="-4"/>
          <w:sz w:val="28"/>
          <w:szCs w:val="28"/>
          <w:lang w:eastAsia="zh-CN"/>
        </w:rPr>
        <w:t>特克斯县第三小学</w:t>
      </w:r>
      <w:r>
        <w:rPr>
          <w:rStyle w:val="16"/>
          <w:rFonts w:hint="eastAsia" w:ascii="仿宋_GB2312" w:hAnsi="楷体" w:eastAsia="仿宋_GB2312"/>
          <w:b w:val="0"/>
          <w:spacing w:val="-4"/>
          <w:sz w:val="28"/>
          <w:szCs w:val="28"/>
        </w:rPr>
        <w:t>采购与招标管理办法》组织人员制定采购计划，按照财政局采购部门批复，进行公开招标、邀请招标等方式进行。</w:t>
      </w:r>
    </w:p>
    <w:p>
      <w:pPr>
        <w:pStyle w:val="3"/>
        <w:numPr>
          <w:ilvl w:val="0"/>
          <w:numId w:val="1"/>
        </w:numPr>
        <w:spacing w:line="360" w:lineRule="auto"/>
        <w:rPr>
          <w:rFonts w:hint="eastAsia" w:ascii="仿宋" w:hAnsi="仿宋" w:eastAsia="仿宋"/>
          <w:sz w:val="36"/>
          <w:szCs w:val="36"/>
          <w:lang w:bidi="ar"/>
        </w:rPr>
      </w:pPr>
      <w:bookmarkStart w:id="19" w:name="_Toc70450306"/>
      <w:r>
        <w:rPr>
          <w:rFonts w:hint="eastAsia" w:ascii="仿宋" w:hAnsi="仿宋" w:eastAsia="仿宋"/>
          <w:sz w:val="36"/>
          <w:szCs w:val="36"/>
          <w:lang w:bidi="ar"/>
        </w:rPr>
        <w:t>部门单位专项组织实施情况</w:t>
      </w:r>
      <w:bookmarkEnd w:id="19"/>
    </w:p>
    <w:p>
      <w:pPr>
        <w:pStyle w:val="3"/>
        <w:numPr>
          <w:ilvl w:val="0"/>
          <w:numId w:val="0"/>
        </w:numPr>
        <w:spacing w:line="360" w:lineRule="auto"/>
        <w:ind w:firstLine="544" w:firstLineChars="200"/>
        <w:rPr>
          <w:rStyle w:val="16"/>
          <w:rFonts w:hint="eastAsia" w:ascii="仿宋_GB2312" w:hAnsi="楷体" w:eastAsia="仿宋_GB2312" w:cs="Times New Roman"/>
          <w:b w:val="0"/>
          <w:bCs/>
          <w:spacing w:val="-4"/>
          <w:kern w:val="2"/>
          <w:sz w:val="28"/>
          <w:szCs w:val="28"/>
          <w:lang w:val="en-US" w:eastAsia="zh-CN" w:bidi="ar-SA"/>
        </w:rPr>
      </w:pPr>
      <w:r>
        <w:rPr>
          <w:rStyle w:val="16"/>
          <w:rFonts w:hint="eastAsia" w:ascii="仿宋_GB2312" w:hAnsi="楷体" w:eastAsia="仿宋_GB2312" w:cs="Times New Roman"/>
          <w:b w:val="0"/>
          <w:bCs/>
          <w:spacing w:val="-4"/>
          <w:kern w:val="2"/>
          <w:sz w:val="28"/>
          <w:szCs w:val="28"/>
          <w:lang w:val="en-US" w:eastAsia="zh-CN" w:bidi="ar-SA"/>
        </w:rPr>
        <w:t>2021年我单位未安排项目支出预算。</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202</w:t>
      </w:r>
      <w:r>
        <w:rPr>
          <w:rStyle w:val="16"/>
          <w:rFonts w:hint="eastAsia" w:ascii="仿宋_GB2312" w:hAnsi="宋体" w:eastAsia="仿宋_GB2312"/>
          <w:b w:val="0"/>
          <w:bCs w:val="0"/>
          <w:spacing w:val="-4"/>
          <w:sz w:val="28"/>
          <w:szCs w:val="28"/>
          <w:highlight w:val="none"/>
          <w:lang w:val="en-US" w:eastAsia="zh-CN"/>
        </w:rPr>
        <w:t>1</w:t>
      </w:r>
      <w:r>
        <w:rPr>
          <w:rStyle w:val="16"/>
          <w:rFonts w:hint="eastAsia" w:ascii="仿宋_GB2312" w:hAnsi="宋体" w:eastAsia="仿宋_GB2312"/>
          <w:b w:val="0"/>
          <w:bCs w:val="0"/>
          <w:spacing w:val="-4"/>
          <w:sz w:val="28"/>
          <w:szCs w:val="28"/>
          <w:highlight w:val="none"/>
        </w:rPr>
        <w:t>年我</w:t>
      </w:r>
      <w:r>
        <w:rPr>
          <w:rStyle w:val="16"/>
          <w:rFonts w:hint="eastAsia" w:ascii="仿宋_GB2312" w:hAnsi="楷体" w:eastAsia="仿宋_GB2312"/>
          <w:b w:val="0"/>
          <w:color w:val="auto"/>
          <w:spacing w:val="-4"/>
          <w:sz w:val="28"/>
          <w:szCs w:val="28"/>
          <w:highlight w:val="none"/>
        </w:rPr>
        <w:t>单位</w:t>
      </w:r>
      <w:r>
        <w:rPr>
          <w:rStyle w:val="16"/>
          <w:rFonts w:hint="eastAsia" w:ascii="仿宋_GB2312" w:hAnsi="宋体" w:eastAsia="仿宋_GB2312"/>
          <w:b w:val="0"/>
          <w:bCs w:val="0"/>
          <w:spacing w:val="-4"/>
          <w:sz w:val="28"/>
          <w:szCs w:val="28"/>
          <w:highlight w:val="none"/>
        </w:rPr>
        <w:t>资产总额</w:t>
      </w:r>
      <w:r>
        <w:rPr>
          <w:rStyle w:val="16"/>
          <w:rFonts w:hint="eastAsia" w:ascii="仿宋_GB2312" w:hAnsi="宋体" w:eastAsia="仿宋_GB2312"/>
          <w:b w:val="0"/>
          <w:bCs w:val="0"/>
          <w:spacing w:val="-4"/>
          <w:sz w:val="28"/>
          <w:szCs w:val="28"/>
          <w:highlight w:val="none"/>
          <w:lang w:val="en-US" w:eastAsia="zh-CN"/>
        </w:rPr>
        <w:t>586.63</w:t>
      </w:r>
      <w:r>
        <w:rPr>
          <w:rStyle w:val="16"/>
          <w:rFonts w:hint="eastAsia" w:ascii="仿宋_GB2312" w:hAnsi="宋体" w:eastAsia="仿宋_GB2312"/>
          <w:b w:val="0"/>
          <w:bCs w:val="0"/>
          <w:spacing w:val="-4"/>
          <w:sz w:val="28"/>
          <w:szCs w:val="28"/>
          <w:highlight w:val="none"/>
        </w:rPr>
        <w:t>万元，其中流动资产</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万元，固定资产净值</w:t>
      </w:r>
      <w:r>
        <w:rPr>
          <w:rStyle w:val="16"/>
          <w:rFonts w:hint="eastAsia" w:ascii="仿宋_GB2312" w:hAnsi="宋体" w:eastAsia="仿宋_GB2312"/>
          <w:b w:val="0"/>
          <w:bCs w:val="0"/>
          <w:spacing w:val="-4"/>
          <w:sz w:val="28"/>
          <w:szCs w:val="28"/>
          <w:highlight w:val="none"/>
          <w:lang w:val="en-US" w:eastAsia="zh-CN"/>
        </w:rPr>
        <w:t>586.63</w:t>
      </w:r>
      <w:r>
        <w:rPr>
          <w:rStyle w:val="16"/>
          <w:rFonts w:hint="eastAsia" w:ascii="仿宋_GB2312" w:hAnsi="宋体" w:eastAsia="仿宋_GB2312"/>
          <w:b w:val="0"/>
          <w:bCs w:val="0"/>
          <w:spacing w:val="-4"/>
          <w:sz w:val="28"/>
          <w:szCs w:val="28"/>
          <w:highlight w:val="none"/>
        </w:rPr>
        <w:t>万元（其中：土地、房屋及构筑物</w:t>
      </w:r>
      <w:r>
        <w:rPr>
          <w:rStyle w:val="16"/>
          <w:rFonts w:hint="eastAsia" w:ascii="仿宋_GB2312" w:hAnsi="宋体" w:eastAsia="仿宋_GB2312"/>
          <w:b w:val="0"/>
          <w:bCs w:val="0"/>
          <w:spacing w:val="-4"/>
          <w:sz w:val="28"/>
          <w:szCs w:val="28"/>
          <w:highlight w:val="none"/>
          <w:lang w:val="en-US" w:eastAsia="zh-CN"/>
        </w:rPr>
        <w:t>409.04</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69.73</w:t>
      </w:r>
      <w:r>
        <w:rPr>
          <w:rStyle w:val="16"/>
          <w:rFonts w:hint="eastAsia" w:ascii="仿宋_GB2312" w:hAnsi="宋体" w:eastAsia="仿宋_GB2312"/>
          <w:b w:val="0"/>
          <w:bCs w:val="0"/>
          <w:spacing w:val="-4"/>
          <w:sz w:val="28"/>
          <w:szCs w:val="28"/>
          <w:highlight w:val="none"/>
        </w:rPr>
        <w:t>%；通用设备</w:t>
      </w:r>
      <w:r>
        <w:rPr>
          <w:rStyle w:val="16"/>
          <w:rFonts w:hint="eastAsia" w:ascii="仿宋_GB2312" w:hAnsi="宋体" w:eastAsia="仿宋_GB2312"/>
          <w:b w:val="0"/>
          <w:bCs w:val="0"/>
          <w:spacing w:val="-4"/>
          <w:sz w:val="28"/>
          <w:szCs w:val="28"/>
          <w:highlight w:val="none"/>
          <w:lang w:val="en-US" w:eastAsia="zh-CN"/>
        </w:rPr>
        <w:t>99.77</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17.01</w:t>
      </w:r>
      <w:r>
        <w:rPr>
          <w:rStyle w:val="16"/>
          <w:rFonts w:hint="eastAsia" w:ascii="仿宋_GB2312" w:hAnsi="宋体" w:eastAsia="仿宋_GB2312"/>
          <w:b w:val="0"/>
          <w:bCs w:val="0"/>
          <w:spacing w:val="-4"/>
          <w:sz w:val="28"/>
          <w:szCs w:val="28"/>
          <w:highlight w:val="none"/>
        </w:rPr>
        <w:t>%；专用设备</w:t>
      </w:r>
      <w:r>
        <w:rPr>
          <w:rStyle w:val="16"/>
          <w:rFonts w:hint="eastAsia" w:ascii="仿宋_GB2312" w:hAnsi="宋体" w:eastAsia="仿宋_GB2312"/>
          <w:b w:val="0"/>
          <w:bCs w:val="0"/>
          <w:spacing w:val="-4"/>
          <w:sz w:val="28"/>
          <w:szCs w:val="28"/>
          <w:highlight w:val="none"/>
          <w:lang w:val="en-US" w:eastAsia="zh-CN"/>
        </w:rPr>
        <w:t>15.44</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2.63</w:t>
      </w:r>
      <w:r>
        <w:rPr>
          <w:rStyle w:val="16"/>
          <w:rFonts w:hint="eastAsia" w:ascii="仿宋_GB2312" w:hAnsi="宋体" w:eastAsia="仿宋_GB2312"/>
          <w:b w:val="0"/>
          <w:bCs w:val="0"/>
          <w:spacing w:val="-4"/>
          <w:sz w:val="28"/>
          <w:szCs w:val="28"/>
          <w:highlight w:val="none"/>
        </w:rPr>
        <w:t>%；其他</w:t>
      </w:r>
      <w:r>
        <w:rPr>
          <w:rStyle w:val="16"/>
          <w:rFonts w:hint="eastAsia" w:ascii="仿宋_GB2312" w:hAnsi="宋体" w:eastAsia="仿宋_GB2312"/>
          <w:b w:val="0"/>
          <w:bCs w:val="0"/>
          <w:spacing w:val="-4"/>
          <w:sz w:val="28"/>
          <w:szCs w:val="28"/>
          <w:highlight w:val="none"/>
          <w:lang w:val="en-US" w:eastAsia="zh-CN"/>
        </w:rPr>
        <w:t>62.38</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10.63</w:t>
      </w:r>
      <w:r>
        <w:rPr>
          <w:rStyle w:val="16"/>
          <w:rFonts w:hint="eastAsia" w:ascii="仿宋_GB2312" w:hAnsi="宋体" w:eastAsia="仿宋_GB2312"/>
          <w:b w:val="0"/>
          <w:bCs w:val="0"/>
          <w:spacing w:val="-4"/>
          <w:sz w:val="28"/>
          <w:szCs w:val="28"/>
          <w:highlight w:val="none"/>
        </w:rPr>
        <w:t>%；）。</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本年度流动资产</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万元，比上年增加</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eastAsia="zh-CN"/>
        </w:rPr>
        <w:t>我单位无流动资产</w:t>
      </w:r>
      <w:r>
        <w:rPr>
          <w:rStyle w:val="16"/>
          <w:rFonts w:hint="eastAsia" w:ascii="仿宋_GB2312" w:hAnsi="宋体" w:eastAsia="仿宋_GB2312"/>
          <w:b w:val="0"/>
          <w:bCs w:val="0"/>
          <w:spacing w:val="-4"/>
          <w:sz w:val="28"/>
          <w:szCs w:val="28"/>
          <w:highlight w:val="none"/>
        </w:rPr>
        <w:t>。</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本年度固定资产</w:t>
      </w:r>
      <w:r>
        <w:rPr>
          <w:rStyle w:val="16"/>
          <w:rFonts w:hint="eastAsia" w:ascii="仿宋_GB2312" w:hAnsi="宋体" w:eastAsia="仿宋_GB2312"/>
          <w:b w:val="0"/>
          <w:bCs w:val="0"/>
          <w:spacing w:val="-4"/>
          <w:sz w:val="28"/>
          <w:szCs w:val="28"/>
          <w:highlight w:val="none"/>
          <w:lang w:val="en-US" w:eastAsia="zh-CN"/>
        </w:rPr>
        <w:t>586.63</w:t>
      </w:r>
      <w:r>
        <w:rPr>
          <w:rStyle w:val="16"/>
          <w:rFonts w:hint="eastAsia" w:ascii="仿宋_GB2312" w:hAnsi="宋体" w:eastAsia="仿宋_GB2312"/>
          <w:b w:val="0"/>
          <w:bCs w:val="0"/>
          <w:spacing w:val="-4"/>
          <w:sz w:val="28"/>
          <w:szCs w:val="28"/>
          <w:highlight w:val="none"/>
        </w:rPr>
        <w:t>万元，比上年</w:t>
      </w:r>
      <w:r>
        <w:rPr>
          <w:rStyle w:val="16"/>
          <w:rFonts w:hint="eastAsia" w:ascii="仿宋_GB2312" w:hAnsi="宋体" w:eastAsia="仿宋_GB2312"/>
          <w:b w:val="0"/>
          <w:bCs w:val="0"/>
          <w:spacing w:val="-4"/>
          <w:sz w:val="28"/>
          <w:szCs w:val="28"/>
          <w:highlight w:val="none"/>
          <w:lang w:eastAsia="zh-CN"/>
        </w:rPr>
        <w:t>增加</w:t>
      </w:r>
      <w:r>
        <w:rPr>
          <w:rStyle w:val="16"/>
          <w:rFonts w:hint="eastAsia" w:ascii="仿宋_GB2312" w:hAnsi="宋体" w:eastAsia="仿宋_GB2312"/>
          <w:b w:val="0"/>
          <w:bCs w:val="0"/>
          <w:spacing w:val="-4"/>
          <w:sz w:val="28"/>
          <w:szCs w:val="28"/>
          <w:highlight w:val="none"/>
          <w:lang w:val="en-US" w:eastAsia="zh-CN"/>
        </w:rPr>
        <w:t>2.42</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eastAsia="zh-CN"/>
        </w:rPr>
        <w:t>我通用设备增加</w:t>
      </w:r>
      <w:r>
        <w:rPr>
          <w:rStyle w:val="16"/>
          <w:rFonts w:hint="eastAsia" w:ascii="仿宋_GB2312" w:hAnsi="宋体" w:eastAsia="仿宋_GB2312"/>
          <w:b w:val="0"/>
          <w:bCs w:val="0"/>
          <w:spacing w:val="-4"/>
          <w:sz w:val="28"/>
          <w:szCs w:val="28"/>
          <w:highlight w:val="none"/>
        </w:rPr>
        <w:t>。</w:t>
      </w:r>
    </w:p>
    <w:p>
      <w:pPr>
        <w:snapToGrid w:val="0"/>
        <w:spacing w:line="360" w:lineRule="auto"/>
        <w:ind w:firstLine="544" w:firstLineChars="200"/>
        <w:rPr>
          <w:rStyle w:val="16"/>
          <w:rFonts w:hint="eastAsia" w:ascii="宋体" w:hAnsi="宋体" w:eastAsia="仿宋_GB2312"/>
          <w:bCs w:val="0"/>
          <w:color w:val="FF0000"/>
          <w:spacing w:val="-4"/>
          <w:sz w:val="28"/>
          <w:szCs w:val="28"/>
          <w:highlight w:val="none"/>
          <w:lang w:val="en-US" w:eastAsia="zh-CN"/>
        </w:rPr>
      </w:pPr>
      <w:r>
        <w:rPr>
          <w:rStyle w:val="16"/>
          <w:rFonts w:hint="eastAsia" w:ascii="仿宋_GB2312" w:hAnsi="宋体" w:eastAsia="仿宋_GB2312"/>
          <w:b w:val="0"/>
          <w:bCs w:val="0"/>
          <w:spacing w:val="-4"/>
          <w:sz w:val="28"/>
          <w:szCs w:val="28"/>
          <w:highlight w:val="none"/>
        </w:rPr>
        <w:t>实际在用固定资产</w:t>
      </w:r>
      <w:r>
        <w:rPr>
          <w:rStyle w:val="16"/>
          <w:rFonts w:hint="eastAsia" w:ascii="仿宋_GB2312" w:hAnsi="宋体" w:eastAsia="仿宋_GB2312"/>
          <w:b w:val="0"/>
          <w:bCs w:val="0"/>
          <w:spacing w:val="-4"/>
          <w:sz w:val="28"/>
          <w:szCs w:val="28"/>
          <w:highlight w:val="none"/>
          <w:lang w:val="en-US" w:eastAsia="zh-CN"/>
        </w:rPr>
        <w:t>586.63</w:t>
      </w:r>
      <w:r>
        <w:rPr>
          <w:rStyle w:val="16"/>
          <w:rFonts w:hint="eastAsia" w:ascii="仿宋_GB2312" w:hAnsi="宋体" w:eastAsia="仿宋_GB2312"/>
          <w:b w:val="0"/>
          <w:bCs w:val="0"/>
          <w:spacing w:val="-4"/>
          <w:sz w:val="28"/>
          <w:szCs w:val="28"/>
          <w:highlight w:val="none"/>
        </w:rPr>
        <w:t>万元，固定资产利用率</w:t>
      </w:r>
      <w:r>
        <w:rPr>
          <w:rStyle w:val="16"/>
          <w:rFonts w:hint="eastAsia" w:ascii="仿宋_GB2312" w:hAnsi="宋体" w:eastAsia="仿宋_GB2312"/>
          <w:b w:val="0"/>
          <w:bCs w:val="0"/>
          <w:spacing w:val="-4"/>
          <w:sz w:val="28"/>
          <w:szCs w:val="28"/>
          <w:highlight w:val="none"/>
          <w:lang w:val="en-US" w:eastAsia="zh-CN"/>
        </w:rPr>
        <w:t>100.00</w:t>
      </w:r>
      <w:r>
        <w:rPr>
          <w:rStyle w:val="16"/>
          <w:rFonts w:hint="eastAsia" w:ascii="仿宋_GB2312" w:hAnsi="宋体" w:eastAsia="仿宋_GB2312"/>
          <w:b w:val="0"/>
          <w:bCs w:val="0"/>
          <w:spacing w:val="-4"/>
          <w:sz w:val="28"/>
          <w:szCs w:val="28"/>
          <w:highlight w:val="none"/>
        </w:rPr>
        <w:t>%。</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1331.80</w:t>
      </w:r>
      <w:r>
        <w:rPr>
          <w:rStyle w:val="16"/>
          <w:rFonts w:hint="eastAsia" w:ascii="仿宋_GB2312" w:hAnsi="宋体" w:eastAsia="仿宋_GB2312"/>
          <w:b w:val="0"/>
          <w:bCs w:val="0"/>
          <w:spacing w:val="-4"/>
          <w:sz w:val="28"/>
          <w:szCs w:val="28"/>
        </w:rPr>
        <w:t>万元，年中调整</w:t>
      </w:r>
      <w:r>
        <w:rPr>
          <w:rStyle w:val="16"/>
          <w:rFonts w:hint="eastAsia" w:ascii="仿宋_GB2312" w:hAnsi="楷体" w:eastAsia="仿宋_GB2312"/>
          <w:b w:val="0"/>
          <w:spacing w:val="-4"/>
          <w:sz w:val="28"/>
          <w:szCs w:val="28"/>
          <w:highlight w:val="none"/>
          <w:lang w:val="en-US" w:eastAsia="zh-CN"/>
        </w:rPr>
        <w:t>507.39</w:t>
      </w:r>
      <w:r>
        <w:rPr>
          <w:rStyle w:val="16"/>
          <w:rFonts w:hint="eastAsia" w:ascii="仿宋_GB2312" w:hAnsi="宋体" w:eastAsia="仿宋_GB2312"/>
          <w:b w:val="0"/>
          <w:bCs w:val="0"/>
          <w:spacing w:val="-4"/>
          <w:sz w:val="28"/>
          <w:szCs w:val="28"/>
        </w:rPr>
        <w:t>万元，截止12月底支出</w:t>
      </w:r>
      <w:r>
        <w:rPr>
          <w:rStyle w:val="16"/>
          <w:rFonts w:hint="eastAsia" w:ascii="仿宋_GB2312" w:hAnsi="楷体" w:eastAsia="仿宋_GB2312"/>
          <w:b w:val="0"/>
          <w:spacing w:val="-4"/>
          <w:sz w:val="28"/>
          <w:szCs w:val="28"/>
          <w:lang w:val="en-US" w:eastAsia="zh-CN"/>
        </w:rPr>
        <w:t>1839.19</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hint="eastAsia" w:ascii="仿宋_GB2312" w:hAnsi="宋体" w:eastAsia="仿宋_GB2312"/>
          <w:b w:val="0"/>
          <w:bCs w:val="0"/>
          <w:spacing w:val="-4"/>
          <w:sz w:val="28"/>
          <w:szCs w:val="28"/>
        </w:rPr>
      </w:pPr>
      <w:bookmarkStart w:id="26" w:name="_Toc70450316"/>
      <w:r>
        <w:rPr>
          <w:rStyle w:val="16"/>
          <w:rFonts w:hint="eastAsia" w:ascii="仿宋_GB2312" w:hAnsi="宋体" w:eastAsia="仿宋_GB2312"/>
          <w:b w:val="0"/>
          <w:bCs w:val="0"/>
          <w:spacing w:val="-4"/>
          <w:sz w:val="28"/>
          <w:szCs w:val="28"/>
        </w:rPr>
        <w:t>2021年，在特克斯县人民政府的大力支持和教育局党委的正确领导下，特克斯县第</w:t>
      </w:r>
      <w:r>
        <w:rPr>
          <w:rStyle w:val="16"/>
          <w:rFonts w:hint="eastAsia" w:ascii="仿宋_GB2312" w:hAnsi="宋体" w:eastAsia="仿宋_GB2312"/>
          <w:b w:val="0"/>
          <w:bCs w:val="0"/>
          <w:spacing w:val="-4"/>
          <w:sz w:val="28"/>
          <w:szCs w:val="28"/>
          <w:lang w:eastAsia="zh-CN"/>
        </w:rPr>
        <w:t>三</w:t>
      </w:r>
      <w:r>
        <w:rPr>
          <w:rStyle w:val="16"/>
          <w:rFonts w:hint="eastAsia" w:ascii="仿宋_GB2312" w:hAnsi="宋体" w:eastAsia="仿宋_GB2312"/>
          <w:b w:val="0"/>
          <w:bCs w:val="0"/>
          <w:spacing w:val="-4"/>
          <w:sz w:val="28"/>
          <w:szCs w:val="28"/>
        </w:rPr>
        <w:t>小学迎难而上、务实重干，积极推动各项教育工作取得了新的进展，为促进经济持续健康发展与社会和谐稳定提供了有力的教育支撑和保障。</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4、教育教学全面达标，群众满意度高。</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特克斯县第</w:t>
      </w:r>
      <w:r>
        <w:rPr>
          <w:rStyle w:val="16"/>
          <w:rFonts w:hint="eastAsia" w:ascii="仿宋_GB2312" w:hAnsi="宋体" w:eastAsia="仿宋_GB2312"/>
          <w:b w:val="0"/>
          <w:bCs w:val="0"/>
          <w:color w:val="auto"/>
          <w:spacing w:val="-4"/>
          <w:sz w:val="28"/>
          <w:szCs w:val="28"/>
          <w:lang w:eastAsia="zh-CN"/>
        </w:rPr>
        <w:t>三</w:t>
      </w:r>
      <w:r>
        <w:rPr>
          <w:rStyle w:val="16"/>
          <w:rFonts w:hint="eastAsia" w:ascii="仿宋_GB2312" w:hAnsi="宋体" w:eastAsia="仿宋_GB2312"/>
          <w:b w:val="0"/>
          <w:bCs w:val="0"/>
          <w:color w:val="auto"/>
          <w:spacing w:val="-4"/>
          <w:sz w:val="28"/>
          <w:szCs w:val="28"/>
        </w:rPr>
        <w:t>小学基本经费中人员经费支出、公用支出严格执行政府的各项制度，保障全</w:t>
      </w:r>
      <w:r>
        <w:rPr>
          <w:rStyle w:val="16"/>
          <w:rFonts w:hint="eastAsia" w:ascii="仿宋_GB2312" w:hAnsi="宋体" w:eastAsia="仿宋_GB2312"/>
          <w:b w:val="0"/>
          <w:bCs w:val="0"/>
          <w:color w:val="auto"/>
          <w:spacing w:val="-4"/>
          <w:sz w:val="28"/>
          <w:szCs w:val="28"/>
          <w:lang w:eastAsia="zh-CN"/>
        </w:rPr>
        <w:t>校</w:t>
      </w:r>
      <w:r>
        <w:rPr>
          <w:rStyle w:val="16"/>
          <w:rFonts w:hint="eastAsia" w:ascii="仿宋_GB2312" w:hAnsi="宋体" w:eastAsia="仿宋_GB2312"/>
          <w:b w:val="0"/>
          <w:bCs w:val="0"/>
          <w:color w:val="auto"/>
          <w:spacing w:val="-4"/>
          <w:sz w:val="28"/>
          <w:szCs w:val="28"/>
        </w:rPr>
        <w:t>工作正常运转，三公经费的使用严格控制在预算申报的范围内；在项目经费的使用上，在保证各项任务顺利完成的同时，严格落实厉行节约的原则</w:t>
      </w:r>
      <w:r>
        <w:rPr>
          <w:rStyle w:val="16"/>
          <w:rFonts w:hint="eastAsia" w:ascii="仿宋_GB2312" w:hAnsi="宋体" w:eastAsia="仿宋_GB2312"/>
          <w:b w:val="0"/>
          <w:bCs w:val="0"/>
          <w:color w:val="auto"/>
          <w:spacing w:val="-4"/>
          <w:sz w:val="28"/>
          <w:szCs w:val="28"/>
          <w:lang w:eastAsia="zh-CN"/>
        </w:rPr>
        <w:t>。</w:t>
      </w:r>
      <w:r>
        <w:rPr>
          <w:rStyle w:val="16"/>
          <w:rFonts w:hint="eastAsia" w:ascii="仿宋_GB2312" w:hAnsi="宋体" w:eastAsia="仿宋_GB2312"/>
          <w:b w:val="0"/>
          <w:bCs w:val="0"/>
          <w:color w:val="auto"/>
          <w:spacing w:val="-4"/>
          <w:sz w:val="28"/>
          <w:szCs w:val="28"/>
        </w:rPr>
        <w:t>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eastAsia="zh-CN"/>
        </w:rPr>
        <w:t>特克斯县第三小学</w:t>
      </w:r>
      <w:r>
        <w:rPr>
          <w:rStyle w:val="16"/>
          <w:rFonts w:hint="eastAsia" w:ascii="仿宋_GB2312" w:eastAsia="仿宋_GB2312" w:hAnsiTheme="minorEastAsia"/>
          <w:b w:val="0"/>
          <w:spacing w:val="-4"/>
          <w:sz w:val="28"/>
          <w:szCs w:val="28"/>
        </w:rPr>
        <w:t>部门单位整体绩效目标共设置一级指标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6</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13</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指标1：在职人员数，指标值：=112人，实际完成值：</w:t>
      </w:r>
      <w:r>
        <w:rPr>
          <w:rStyle w:val="16"/>
          <w:rFonts w:hint="eastAsia" w:ascii="仿宋_GB2312" w:hAnsi="宋体" w:eastAsia="仿宋_GB2312"/>
          <w:b w:val="0"/>
          <w:spacing w:val="-4"/>
          <w:sz w:val="28"/>
          <w:szCs w:val="28"/>
          <w:lang w:val="en-US" w:eastAsia="zh-CN"/>
        </w:rPr>
        <w:t>112</w:t>
      </w:r>
      <w:r>
        <w:rPr>
          <w:rStyle w:val="16"/>
          <w:rFonts w:hint="eastAsia" w:ascii="仿宋_GB2312" w:hAnsi="宋体" w:eastAsia="仿宋_GB2312"/>
          <w:b w:val="0"/>
          <w:spacing w:val="-4"/>
          <w:sz w:val="28"/>
          <w:szCs w:val="28"/>
        </w:rPr>
        <w:t>人，指标完成率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：退休人员数，指标值：</w:t>
      </w:r>
      <w:r>
        <w:rPr>
          <w:rStyle w:val="16"/>
          <w:rFonts w:hint="eastAsia" w:ascii="仿宋_GB2312" w:hAnsi="宋体" w:eastAsia="仿宋_GB2312"/>
          <w:b w:val="0"/>
          <w:spacing w:val="-4"/>
          <w:sz w:val="28"/>
          <w:szCs w:val="28"/>
          <w:lang w:val="en-US" w:eastAsia="zh-CN"/>
        </w:rPr>
        <w:t>=101人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101人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：遗属补助人数，指标值：</w:t>
      </w:r>
      <w:r>
        <w:rPr>
          <w:rStyle w:val="16"/>
          <w:rFonts w:hint="eastAsia" w:ascii="仿宋_GB2312" w:hAnsi="宋体" w:eastAsia="仿宋_GB2312"/>
          <w:b w:val="0"/>
          <w:spacing w:val="-4"/>
          <w:sz w:val="28"/>
          <w:szCs w:val="28"/>
          <w:lang w:val="en-US" w:eastAsia="zh-CN"/>
        </w:rPr>
        <w:t>=8人</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8人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指标1：人员工资发放、社保缴纳准确性，指标值：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指标1：人员工资发放、社保缴纳及时性，指标值：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指标1：工资、社保、住房等人均支出标准，指标值：≤117352元/人/年，实际完成值：</w:t>
      </w:r>
      <w:r>
        <w:rPr>
          <w:rStyle w:val="16"/>
          <w:rFonts w:hint="eastAsia" w:ascii="仿宋_GB2312" w:hAnsi="宋体" w:eastAsia="仿宋_GB2312"/>
          <w:b w:val="0"/>
          <w:spacing w:val="-4"/>
          <w:sz w:val="28"/>
          <w:szCs w:val="28"/>
          <w:lang w:val="en-US" w:eastAsia="zh-CN"/>
        </w:rPr>
        <w:t>117352</w:t>
      </w:r>
      <w:r>
        <w:rPr>
          <w:rStyle w:val="16"/>
          <w:rFonts w:hint="eastAsia" w:ascii="仿宋_GB2312" w:hAnsi="宋体" w:eastAsia="仿宋_GB2312"/>
          <w:b w:val="0"/>
          <w:spacing w:val="-4"/>
          <w:sz w:val="28"/>
          <w:szCs w:val="28"/>
        </w:rPr>
        <w:t>元/人/年，指标完成率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：退休人员计生奖励人均支出标准，指标值：≤1286元/人/年，实际完成值：1286元/人/年，指标完成率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：取暖费人均支出标准，指标值：≤1300元/人/年，实际完成值：1300元/人/年，指标完成率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4</w:t>
      </w:r>
      <w:r>
        <w:rPr>
          <w:rStyle w:val="16"/>
          <w:rFonts w:hint="eastAsia" w:ascii="仿宋_GB2312" w:hAnsi="宋体" w:eastAsia="仿宋_GB2312"/>
          <w:b w:val="0"/>
          <w:spacing w:val="-4"/>
          <w:sz w:val="28"/>
          <w:szCs w:val="28"/>
        </w:rPr>
        <w:t>：遗属补助人均支出标准，指标值：≤4440元/人/年，实际完成值：</w:t>
      </w:r>
      <w:r>
        <w:rPr>
          <w:rStyle w:val="16"/>
          <w:rFonts w:hint="eastAsia" w:ascii="仿宋_GB2312" w:hAnsi="宋体" w:eastAsia="仿宋_GB2312"/>
          <w:b w:val="0"/>
          <w:spacing w:val="-4"/>
          <w:sz w:val="28"/>
          <w:szCs w:val="28"/>
          <w:lang w:val="en-US" w:eastAsia="zh-CN"/>
        </w:rPr>
        <w:t>4440</w:t>
      </w:r>
      <w:r>
        <w:rPr>
          <w:rStyle w:val="16"/>
          <w:rFonts w:hint="eastAsia" w:ascii="仿宋_GB2312" w:hAnsi="宋体" w:eastAsia="仿宋_GB2312"/>
          <w:b w:val="0"/>
          <w:spacing w:val="-4"/>
          <w:sz w:val="28"/>
          <w:szCs w:val="28"/>
        </w:rPr>
        <w:t>元/人/年，指标完成率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指标1：保证教学任务及时完成，指标值：有效保证，实际完成值：有效保证，指标完成率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：保证教师队伍稳定，指标值：有效保证，实际完成值：有效保证，指标完成率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指标1：教师满意度，指标值：≥95%，实际完成值：95%，指标完成率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：退休教师满意度，指标值：≥95%，实际完成值：95%，指标完成率</w:t>
      </w:r>
      <w:r>
        <w:rPr>
          <w:rStyle w:val="16"/>
          <w:rFonts w:hint="eastAsia" w:ascii="仿宋_GB2312" w:hAnsi="宋体" w:eastAsia="仿宋_GB2312"/>
          <w:b w:val="0"/>
          <w:spacing w:val="-4"/>
          <w:sz w:val="28"/>
          <w:szCs w:val="28"/>
          <w:lang w:val="en-US" w:eastAsia="zh-CN"/>
        </w:rPr>
        <w:t>100.00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bookmarkStart w:id="33" w:name="_GoBack"/>
      <w:bookmarkEnd w:id="33"/>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napToGrid w:val="0"/>
        <w:spacing w:line="360" w:lineRule="auto"/>
        <w:ind w:firstLine="544" w:firstLineChars="200"/>
        <w:rPr>
          <w:rStyle w:val="16"/>
          <w:rFonts w:hint="eastAsia" w:ascii="仿宋_GB2312" w:hAnsi="宋体" w:eastAsia="仿宋_GB2312" w:cs="Times New Roman"/>
          <w:b w:val="0"/>
          <w:spacing w:val="-4"/>
          <w:sz w:val="28"/>
          <w:szCs w:val="28"/>
        </w:rPr>
      </w:pPr>
      <w:bookmarkStart w:id="28" w:name="_Toc70450318"/>
      <w:r>
        <w:rPr>
          <w:rStyle w:val="16"/>
          <w:rFonts w:hint="eastAsia" w:ascii="仿宋_GB2312" w:hAnsi="宋体" w:eastAsia="仿宋_GB2312" w:cs="Times New Roman"/>
          <w:b w:val="0"/>
          <w:spacing w:val="-4"/>
          <w:sz w:val="28"/>
          <w:szCs w:val="28"/>
        </w:rPr>
        <w:t>1、预算绩效管理观念淡薄，缺乏主动性。</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2、预算绩效管理的组织架构不够完善，缺乏统筹性。</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3、绩效型预算编制脱离实际，缺乏前瞻性。</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4、绩效型预算评价方法比较单一、简单，大都还是采用目标分析法、成本效益分析法等，主观因素判断占比较大，尚未主动尝试采用层次分析法等先进方法。</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lang w:val="en-US" w:eastAsia="zh-CN"/>
        </w:rPr>
        <w:t>5、</w:t>
      </w:r>
      <w:r>
        <w:rPr>
          <w:rStyle w:val="16"/>
          <w:rFonts w:hint="eastAsia" w:ascii="仿宋_GB2312" w:hAnsi="宋体" w:eastAsia="仿宋_GB2312" w:cs="Times New Roman"/>
          <w:b w:val="0"/>
          <w:spacing w:val="-4"/>
          <w:sz w:val="28"/>
          <w:szCs w:val="28"/>
        </w:rPr>
        <w:t>固定资产管理水平有待提高</w:t>
      </w:r>
      <w:r>
        <w:rPr>
          <w:rStyle w:val="16"/>
          <w:rFonts w:hint="eastAsia" w:ascii="仿宋_GB2312" w:hAnsi="宋体" w:eastAsia="仿宋_GB2312" w:cs="Times New Roman"/>
          <w:b w:val="0"/>
          <w:spacing w:val="-4"/>
          <w:sz w:val="28"/>
          <w:szCs w:val="28"/>
          <w:lang w:eastAsia="zh-CN"/>
        </w:rPr>
        <w:t>，</w:t>
      </w:r>
      <w:r>
        <w:rPr>
          <w:rStyle w:val="16"/>
          <w:rFonts w:hint="eastAsia" w:ascii="仿宋_GB2312" w:hAnsi="宋体" w:eastAsia="仿宋_GB2312" w:cs="Times New Roman"/>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3"/>
        <w:spacing w:line="360" w:lineRule="auto"/>
        <w:rPr>
          <w:lang w:bidi="ar"/>
        </w:rPr>
      </w:pPr>
      <w:r>
        <w:rPr>
          <w:rFonts w:hint="eastAsia" w:ascii="仿宋" w:hAnsi="仿宋" w:eastAsia="仿宋"/>
          <w:sz w:val="36"/>
          <w:szCs w:val="36"/>
          <w:lang w:bidi="ar"/>
        </w:rPr>
        <w:t>七、改进措施和建议</w:t>
      </w:r>
      <w:bookmarkEnd w:id="28"/>
    </w:p>
    <w:p>
      <w:pPr>
        <w:pStyle w:val="4"/>
        <w:spacing w:line="360" w:lineRule="auto"/>
        <w:rPr>
          <w:rStyle w:val="16"/>
          <w:rFonts w:ascii="仿宋" w:hAnsi="仿宋" w:eastAsia="仿宋"/>
          <w:b/>
          <w:bCs/>
        </w:rPr>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Fonts w:ascii="仿宋" w:hAnsi="仿宋" w:eastAsia="仿宋"/>
          <w:sz w:val="22"/>
          <w:szCs w:val="28"/>
        </w:rPr>
      </w:pPr>
      <w:r>
        <w:rPr>
          <w:rStyle w:val="16"/>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pStyle w:val="12"/>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1、加强学习。进一步明确如何参照考核体系，科学合理设定绩效目标，充分发挥预算绩效管理工作效用。</w:t>
      </w:r>
    </w:p>
    <w:p>
      <w:pPr>
        <w:pStyle w:val="12"/>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2、财务上，会计核算要更加详细，为本单位各项工作的开展、总结、评估提供有效数据资料支撑,为各项业务工作更好的开展提供帮助。</w:t>
      </w:r>
    </w:p>
    <w:p>
      <w:pPr>
        <w:pStyle w:val="12"/>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3、从源头上强化对专项资金预算管理。实行专项资金预算管理，结合单位实际,按轻重缓急统筹安排编制预算,提高预算编制科学性和合理性,优化资金结构。</w:t>
      </w:r>
    </w:p>
    <w:p>
      <w:pPr>
        <w:pStyle w:val="12"/>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4、按时间进度分解资金使用计划。专项资金的使用，要事前做计划，事中进行控制，事后总结提高。合理安排资金使用,充分体现资金投向的目标和效益。</w:t>
      </w:r>
    </w:p>
    <w:p>
      <w:pPr>
        <w:pStyle w:val="12"/>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12"/>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6"/>
          <w:rFonts w:hint="eastAsia" w:ascii="仿宋_GB2312" w:hAnsi="宋体" w:eastAsia="仿宋_GB2312" w:cs="Times New Roman"/>
          <w:b w:val="0"/>
          <w:spacing w:val="-4"/>
          <w:kern w:val="2"/>
          <w:sz w:val="28"/>
          <w:szCs w:val="28"/>
          <w:lang w:val="en-US" w:eastAsia="zh-CN" w:bidi="ar-SA"/>
        </w:rPr>
      </w:pPr>
    </w:p>
    <w:p>
      <w:pPr>
        <w:pStyle w:val="12"/>
        <w:pageBreakBefore w:val="0"/>
        <w:widowControl/>
        <w:kinsoku/>
        <w:wordWrap/>
        <w:overflowPunct/>
        <w:topLinePunct w:val="0"/>
        <w:autoSpaceDE/>
        <w:autoSpaceDN/>
        <w:bidi w:val="0"/>
        <w:adjustRightInd/>
        <w:spacing w:before="40" w:beforeAutospacing="0" w:after="0" w:afterAutospacing="0" w:line="560" w:lineRule="exact"/>
        <w:jc w:val="both"/>
        <w:rPr>
          <w:rStyle w:val="16"/>
          <w:rFonts w:hint="eastAsia" w:ascii="仿宋_GB2312" w:hAnsi="宋体" w:eastAsia="仿宋_GB2312" w:cs="Times New Roman"/>
          <w:b w:val="0"/>
          <w:spacing w:val="-4"/>
          <w:kern w:val="2"/>
          <w:sz w:val="28"/>
          <w:szCs w:val="28"/>
          <w:lang w:val="en-US" w:eastAsia="zh-CN" w:bidi="ar-SA"/>
        </w:rPr>
      </w:pPr>
    </w:p>
    <w:p>
      <w:pPr>
        <w:pStyle w:val="3"/>
        <w:spacing w:line="360" w:lineRule="auto"/>
        <w:rPr>
          <w:rStyle w:val="16"/>
          <w:rFonts w:ascii="仿宋" w:hAnsi="仿宋" w:eastAsia="仿宋"/>
          <w:b/>
          <w:bCs/>
          <w:sz w:val="36"/>
          <w:szCs w:val="36"/>
        </w:rPr>
      </w:pPr>
      <w:bookmarkStart w:id="31"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r>
        <w:br w:type="page"/>
      </w:r>
    </w:p>
    <w:tbl>
      <w:tblPr>
        <w:tblStyle w:val="14"/>
        <w:tblW w:w="8576" w:type="dxa"/>
        <w:tblInd w:w="93" w:type="dxa"/>
        <w:tblLayout w:type="fixed"/>
        <w:tblCellMar>
          <w:top w:w="0" w:type="dxa"/>
          <w:left w:w="108" w:type="dxa"/>
          <w:bottom w:w="0" w:type="dxa"/>
          <w:right w:w="108" w:type="dxa"/>
        </w:tblCellMar>
      </w:tblPr>
      <w:tblGrid>
        <w:gridCol w:w="376"/>
        <w:gridCol w:w="598"/>
        <w:gridCol w:w="2156"/>
        <w:gridCol w:w="948"/>
        <w:gridCol w:w="972"/>
        <w:gridCol w:w="660"/>
        <w:gridCol w:w="996"/>
        <w:gridCol w:w="1057"/>
        <w:gridCol w:w="813"/>
      </w:tblGrid>
      <w:tr>
        <w:tblPrEx>
          <w:tblCellMar>
            <w:top w:w="0" w:type="dxa"/>
            <w:left w:w="108" w:type="dxa"/>
            <w:bottom w:w="0" w:type="dxa"/>
            <w:right w:w="108" w:type="dxa"/>
          </w:tblCellMar>
        </w:tblPrEx>
        <w:trPr>
          <w:trHeight w:val="405" w:hRule="atLeast"/>
        </w:trPr>
        <w:tc>
          <w:tcPr>
            <w:tcW w:w="8576" w:type="dxa"/>
            <w:gridSpan w:val="9"/>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8576" w:type="dxa"/>
            <w:gridSpan w:val="9"/>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 xml:space="preserve"> </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285" w:hRule="atLeast"/>
        </w:trPr>
        <w:tc>
          <w:tcPr>
            <w:tcW w:w="37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598"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15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48"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72"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66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9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5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81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97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部门名称</w:t>
            </w:r>
          </w:p>
        </w:tc>
        <w:tc>
          <w:tcPr>
            <w:tcW w:w="760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lang w:eastAsia="zh-CN"/>
              </w:rPr>
              <w:t>特克斯县第三小学</w:t>
            </w:r>
            <w:r>
              <w:rPr>
                <w:rFonts w:hint="eastAsia" w:ascii="宋体" w:hAnsi="宋体" w:eastAsia="宋体" w:cs="宋体"/>
                <w:kern w:val="0"/>
                <w:sz w:val="16"/>
                <w:szCs w:val="16"/>
              </w:rPr>
              <w:t>　</w:t>
            </w:r>
          </w:p>
        </w:tc>
      </w:tr>
      <w:tr>
        <w:tblPrEx>
          <w:tblCellMar>
            <w:top w:w="0" w:type="dxa"/>
            <w:left w:w="108" w:type="dxa"/>
            <w:bottom w:w="0" w:type="dxa"/>
            <w:right w:w="108" w:type="dxa"/>
          </w:tblCellMar>
        </w:tblPrEx>
        <w:trPr>
          <w:trHeight w:val="285" w:hRule="atLeast"/>
        </w:trPr>
        <w:tc>
          <w:tcPr>
            <w:tcW w:w="3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年度</w:t>
            </w:r>
            <w:r>
              <w:rPr>
                <w:rFonts w:hint="eastAsia" w:ascii="宋体" w:hAnsi="宋体" w:eastAsia="宋体" w:cs="宋体"/>
                <w:kern w:val="0"/>
                <w:sz w:val="16"/>
                <w:szCs w:val="16"/>
              </w:rPr>
              <w:br w:type="textWrapping"/>
            </w:r>
            <w:r>
              <w:rPr>
                <w:rFonts w:hint="eastAsia" w:ascii="宋体" w:hAnsi="宋体" w:eastAsia="宋体" w:cs="宋体"/>
                <w:kern w:val="0"/>
                <w:sz w:val="16"/>
                <w:szCs w:val="16"/>
              </w:rPr>
              <w:t>主要</w:t>
            </w:r>
            <w:r>
              <w:rPr>
                <w:rFonts w:hint="eastAsia" w:ascii="宋体" w:hAnsi="宋体" w:eastAsia="宋体" w:cs="宋体"/>
                <w:kern w:val="0"/>
                <w:sz w:val="16"/>
                <w:szCs w:val="16"/>
              </w:rPr>
              <w:br w:type="textWrapping"/>
            </w:r>
            <w:r>
              <w:rPr>
                <w:rFonts w:hint="eastAsia" w:ascii="宋体" w:hAnsi="宋体" w:eastAsia="宋体" w:cs="宋体"/>
                <w:kern w:val="0"/>
                <w:sz w:val="16"/>
                <w:szCs w:val="16"/>
              </w:rPr>
              <w:t>任务</w:t>
            </w:r>
          </w:p>
        </w:tc>
        <w:tc>
          <w:tcPr>
            <w:tcW w:w="598"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任务名称</w:t>
            </w:r>
          </w:p>
        </w:tc>
        <w:tc>
          <w:tcPr>
            <w:tcW w:w="21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主要内容</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预算金额（万元）</w:t>
            </w:r>
          </w:p>
        </w:tc>
        <w:tc>
          <w:tcPr>
            <w:tcW w:w="28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实际执行（万元）</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6"/>
                <w:szCs w:val="16"/>
              </w:rPr>
            </w:pPr>
          </w:p>
        </w:tc>
        <w:tc>
          <w:tcPr>
            <w:tcW w:w="21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9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总额</w:t>
            </w:r>
          </w:p>
        </w:tc>
        <w:tc>
          <w:tcPr>
            <w:tcW w:w="9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财政拨款</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其他资金</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总额</w:t>
            </w:r>
          </w:p>
        </w:tc>
        <w:tc>
          <w:tcPr>
            <w:tcW w:w="10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财政拨款</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其他资金</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人员保障</w:t>
            </w:r>
          </w:p>
        </w:tc>
        <w:tc>
          <w:tcPr>
            <w:tcW w:w="2156"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 xml:space="preserve">　用于保障部门单位人员发放工资福利支出及对个人和家庭补助 </w:t>
            </w:r>
          </w:p>
        </w:tc>
        <w:tc>
          <w:tcPr>
            <w:tcW w:w="94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1331.80</w:t>
            </w:r>
          </w:p>
        </w:tc>
        <w:tc>
          <w:tcPr>
            <w:tcW w:w="97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1331.80</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1331.80</w:t>
            </w:r>
          </w:p>
        </w:tc>
        <w:tc>
          <w:tcPr>
            <w:tcW w:w="10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1331.80</w:t>
            </w:r>
          </w:p>
        </w:tc>
        <w:tc>
          <w:tcPr>
            <w:tcW w:w="8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w:t>
            </w:r>
          </w:p>
        </w:tc>
      </w:tr>
      <w:tr>
        <w:tblPrEx>
          <w:tblCellMar>
            <w:top w:w="0" w:type="dxa"/>
            <w:left w:w="108" w:type="dxa"/>
            <w:bottom w:w="0" w:type="dxa"/>
            <w:right w:w="108" w:type="dxa"/>
          </w:tblCellMar>
        </w:tblPrEx>
        <w:trPr>
          <w:trHeight w:val="54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754"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金额合计</w:t>
            </w:r>
          </w:p>
        </w:tc>
        <w:tc>
          <w:tcPr>
            <w:tcW w:w="94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1331.80</w:t>
            </w:r>
          </w:p>
        </w:tc>
        <w:tc>
          <w:tcPr>
            <w:tcW w:w="97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1331.80</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1331.80</w:t>
            </w:r>
          </w:p>
        </w:tc>
        <w:tc>
          <w:tcPr>
            <w:tcW w:w="105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1331.80</w:t>
            </w:r>
          </w:p>
        </w:tc>
        <w:tc>
          <w:tcPr>
            <w:tcW w:w="81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0</w:t>
            </w:r>
          </w:p>
        </w:tc>
      </w:tr>
      <w:tr>
        <w:tblPrEx>
          <w:tblCellMar>
            <w:top w:w="0" w:type="dxa"/>
            <w:left w:w="108" w:type="dxa"/>
            <w:bottom w:w="0" w:type="dxa"/>
            <w:right w:w="108" w:type="dxa"/>
          </w:tblCellMar>
        </w:tblPrEx>
        <w:trPr>
          <w:trHeight w:val="285" w:hRule="atLeast"/>
        </w:trPr>
        <w:tc>
          <w:tcPr>
            <w:tcW w:w="3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　</w:t>
            </w:r>
          </w:p>
        </w:tc>
        <w:tc>
          <w:tcPr>
            <w:tcW w:w="3702"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预期目标</w:t>
            </w:r>
          </w:p>
        </w:tc>
        <w:tc>
          <w:tcPr>
            <w:tcW w:w="4498"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实际完成目标</w:t>
            </w:r>
          </w:p>
        </w:tc>
      </w:tr>
      <w:tr>
        <w:tblPrEx>
          <w:tblCellMar>
            <w:top w:w="0" w:type="dxa"/>
            <w:left w:w="108" w:type="dxa"/>
            <w:bottom w:w="0" w:type="dxa"/>
            <w:right w:w="108" w:type="dxa"/>
          </w:tblCellMar>
        </w:tblPrEx>
        <w:trPr>
          <w:trHeight w:val="1854" w:hRule="atLeast"/>
        </w:trPr>
        <w:tc>
          <w:tcPr>
            <w:tcW w:w="3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年度</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总体</w:t>
            </w:r>
            <w:r>
              <w:rPr>
                <w:rFonts w:hint="eastAsia" w:ascii="宋体" w:hAnsi="宋体" w:eastAsia="宋体" w:cs="宋体"/>
                <w:kern w:val="0"/>
                <w:sz w:val="16"/>
                <w:szCs w:val="16"/>
              </w:rPr>
              <w:br w:type="textWrapping"/>
            </w:r>
            <w:r>
              <w:rPr>
                <w:rFonts w:hint="eastAsia" w:ascii="宋体" w:hAnsi="宋体" w:eastAsia="宋体" w:cs="宋体"/>
                <w:kern w:val="0"/>
                <w:sz w:val="16"/>
                <w:szCs w:val="16"/>
              </w:rPr>
              <w:t>目标</w:t>
            </w:r>
          </w:p>
        </w:tc>
        <w:tc>
          <w:tcPr>
            <w:tcW w:w="3702" w:type="dxa"/>
            <w:gridSpan w:val="3"/>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16"/>
                <w:szCs w:val="16"/>
              </w:rPr>
            </w:pPr>
            <w:r>
              <w:rPr>
                <w:rFonts w:hint="eastAsia" w:ascii="宋体" w:hAnsi="宋体" w:eastAsia="宋体" w:cs="宋体"/>
                <w:kern w:val="0"/>
                <w:sz w:val="16"/>
                <w:szCs w:val="16"/>
              </w:rPr>
              <w:t xml:space="preserve">目标1：确保人员经费的合理分配。目标2：完成在职教师工资发放、按时完成社保、公积金缴纳。目标3：及时完成退休教师取暖费、计生奖励金的发放。目标4：完成每年教学任务。目5：全面推进各类教师能力提升培训，加强教师队伍建设。目标6：做好教育教学管理工作。  </w:t>
            </w:r>
          </w:p>
        </w:tc>
        <w:tc>
          <w:tcPr>
            <w:tcW w:w="4498"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16"/>
                <w:szCs w:val="16"/>
              </w:rPr>
            </w:pPr>
            <w:r>
              <w:rPr>
                <w:rFonts w:hint="eastAsia" w:ascii="宋体" w:hAnsi="宋体" w:eastAsia="宋体" w:cs="宋体"/>
                <w:kern w:val="0"/>
                <w:sz w:val="16"/>
                <w:szCs w:val="16"/>
              </w:rPr>
              <w:t xml:space="preserve">目标1：确保人员经费的合理分配。目标2：完成在职教师工资发放、按时完成社保、公积金缴纳。目标3：及时完成退休教师取暖费、计生奖励金的发放。目标4：完成每年教学任务。目5：全面推进各类教师能力提升培训，加强教师队伍建设。目标6：做好教育教学管理工作。  </w:t>
            </w:r>
          </w:p>
        </w:tc>
      </w:tr>
      <w:tr>
        <w:tblPrEx>
          <w:tblCellMar>
            <w:top w:w="0" w:type="dxa"/>
            <w:left w:w="108" w:type="dxa"/>
            <w:bottom w:w="0" w:type="dxa"/>
            <w:right w:w="108" w:type="dxa"/>
          </w:tblCellMar>
        </w:tblPrEx>
        <w:trPr>
          <w:trHeight w:val="90" w:hRule="atLeast"/>
        </w:trPr>
        <w:tc>
          <w:tcPr>
            <w:tcW w:w="3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年</w:t>
            </w:r>
            <w:r>
              <w:rPr>
                <w:rFonts w:hint="eastAsia" w:ascii="宋体" w:hAnsi="宋体" w:eastAsia="宋体" w:cs="宋体"/>
                <w:kern w:val="0"/>
                <w:sz w:val="16"/>
                <w:szCs w:val="16"/>
              </w:rPr>
              <w:br w:type="textWrapping"/>
            </w:r>
            <w:r>
              <w:rPr>
                <w:rFonts w:hint="eastAsia" w:ascii="宋体" w:hAnsi="宋体" w:eastAsia="宋体" w:cs="宋体"/>
                <w:kern w:val="0"/>
                <w:sz w:val="16"/>
                <w:szCs w:val="16"/>
              </w:rPr>
              <w:t>度</w:t>
            </w:r>
            <w:r>
              <w:rPr>
                <w:rFonts w:hint="eastAsia" w:ascii="宋体" w:hAnsi="宋体" w:eastAsia="宋体" w:cs="宋体"/>
                <w:kern w:val="0"/>
                <w:sz w:val="16"/>
                <w:szCs w:val="16"/>
              </w:rPr>
              <w:br w:type="textWrapping"/>
            </w:r>
            <w:r>
              <w:rPr>
                <w:rFonts w:hint="eastAsia" w:ascii="宋体" w:hAnsi="宋体" w:eastAsia="宋体" w:cs="宋体"/>
                <w:kern w:val="0"/>
                <w:sz w:val="16"/>
                <w:szCs w:val="16"/>
              </w:rPr>
              <w:t>绩</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效</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指</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标</w:t>
            </w:r>
          </w:p>
        </w:tc>
        <w:tc>
          <w:tcPr>
            <w:tcW w:w="5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一级指标</w:t>
            </w:r>
          </w:p>
        </w:tc>
        <w:tc>
          <w:tcPr>
            <w:tcW w:w="215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二级指标</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三级指标</w:t>
            </w:r>
          </w:p>
        </w:tc>
        <w:tc>
          <w:tcPr>
            <w:tcW w:w="16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预期指标值（包含数字及文字描述）</w:t>
            </w:r>
          </w:p>
        </w:tc>
        <w:tc>
          <w:tcPr>
            <w:tcW w:w="187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实际完成指标值（包含数字及文字描述）</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完成指标</w:t>
            </w:r>
          </w:p>
        </w:tc>
        <w:tc>
          <w:tcPr>
            <w:tcW w:w="215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数量指标</w:t>
            </w: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在职人员数</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=112人</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112人</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156"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6"/>
                <w:szCs w:val="16"/>
              </w:rPr>
            </w:pP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退休人员数</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=101人</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101人</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156"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6"/>
                <w:szCs w:val="16"/>
              </w:rPr>
            </w:pP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遗属补助人数</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=8人</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8人</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156" w:type="dxa"/>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质量指标</w:t>
            </w: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 xml:space="preserve"> 人员工资发放、社保缴纳准确性</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=100%</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100%</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156" w:type="dxa"/>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时效指标</w:t>
            </w: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人员工资发放、社保缴纳及时性</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=100%</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100%</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15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成本指标</w:t>
            </w: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工资、社保、住房等人均支出标准</w:t>
            </w:r>
          </w:p>
        </w:tc>
        <w:tc>
          <w:tcPr>
            <w:tcW w:w="1656"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≤117352元/人/年</w:t>
            </w:r>
          </w:p>
          <w:p>
            <w:pPr>
              <w:widowControl/>
              <w:jc w:val="center"/>
              <w:rPr>
                <w:rFonts w:ascii="宋体" w:hAnsi="宋体" w:eastAsia="宋体" w:cs="宋体"/>
                <w:kern w:val="0"/>
                <w:sz w:val="16"/>
                <w:szCs w:val="16"/>
              </w:rPr>
            </w:pP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117352元/人/年</w:t>
            </w:r>
          </w:p>
          <w:p>
            <w:pPr>
              <w:widowControl/>
              <w:jc w:val="center"/>
              <w:rPr>
                <w:rFonts w:ascii="宋体" w:hAnsi="宋体" w:eastAsia="宋体" w:cs="宋体"/>
                <w:color w:val="000000"/>
                <w:kern w:val="0"/>
                <w:sz w:val="16"/>
                <w:szCs w:val="16"/>
              </w:rPr>
            </w:pP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156"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6"/>
                <w:szCs w:val="16"/>
              </w:rPr>
            </w:pP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退休人员计生奖励人均支出标准</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≤1286元/人/年</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1286元/人/年</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156"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6"/>
                <w:szCs w:val="16"/>
              </w:rPr>
            </w:pP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取暖费人均支出标准</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≤1300元/人/年</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color w:val="000000"/>
                <w:kern w:val="0"/>
                <w:sz w:val="16"/>
                <w:szCs w:val="16"/>
              </w:rPr>
            </w:pPr>
            <w:r>
              <w:rPr>
                <w:rFonts w:hint="eastAsia" w:ascii="宋体" w:hAnsi="宋体" w:eastAsia="宋体" w:cs="宋体"/>
                <w:kern w:val="0"/>
                <w:sz w:val="16"/>
                <w:szCs w:val="16"/>
              </w:rPr>
              <w:t>1300元/人/年</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156"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6"/>
                <w:szCs w:val="16"/>
              </w:rPr>
            </w:pP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遗属补助人均支出标准</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≤4440元/人/年</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4440元/人/年</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15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社会效益</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指标</w:t>
            </w: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 xml:space="preserve"> 保证教学任务及时完成</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有效保证</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有效保证</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2156"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6"/>
                <w:szCs w:val="16"/>
              </w:rPr>
            </w:pP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保证教师队伍稳定</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有效保证</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有效保证</w:t>
            </w:r>
          </w:p>
        </w:tc>
      </w:tr>
      <w:tr>
        <w:tblPrEx>
          <w:tblCellMar>
            <w:top w:w="0" w:type="dxa"/>
            <w:left w:w="108" w:type="dxa"/>
            <w:bottom w:w="0" w:type="dxa"/>
            <w:right w:w="108" w:type="dxa"/>
          </w:tblCellMar>
        </w:tblPrEx>
        <w:trPr>
          <w:trHeight w:val="285"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满意度</w:t>
            </w:r>
            <w:r>
              <w:rPr>
                <w:rFonts w:hint="eastAsia" w:ascii="宋体" w:hAnsi="宋体" w:eastAsia="宋体" w:cs="宋体"/>
                <w:kern w:val="0"/>
                <w:sz w:val="16"/>
                <w:szCs w:val="16"/>
              </w:rPr>
              <w:br w:type="textWrapping"/>
            </w:r>
            <w:r>
              <w:rPr>
                <w:rFonts w:hint="eastAsia" w:ascii="宋体" w:hAnsi="宋体" w:eastAsia="宋体" w:cs="宋体"/>
                <w:kern w:val="0"/>
                <w:sz w:val="16"/>
                <w:szCs w:val="16"/>
              </w:rPr>
              <w:t>指标</w:t>
            </w:r>
          </w:p>
        </w:tc>
        <w:tc>
          <w:tcPr>
            <w:tcW w:w="215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满意度指标</w:t>
            </w: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教师满意度</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≥95%</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95%</w:t>
            </w:r>
          </w:p>
        </w:tc>
      </w:tr>
      <w:tr>
        <w:tblPrEx>
          <w:tblCellMar>
            <w:top w:w="0" w:type="dxa"/>
            <w:left w:w="108" w:type="dxa"/>
            <w:bottom w:w="0" w:type="dxa"/>
            <w:right w:w="108" w:type="dxa"/>
          </w:tblCellMar>
        </w:tblPrEx>
        <w:trPr>
          <w:trHeight w:val="103"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6"/>
                <w:szCs w:val="16"/>
              </w:rPr>
            </w:pPr>
          </w:p>
        </w:tc>
        <w:tc>
          <w:tcPr>
            <w:tcW w:w="59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6"/>
                <w:szCs w:val="16"/>
              </w:rPr>
            </w:pPr>
          </w:p>
        </w:tc>
        <w:tc>
          <w:tcPr>
            <w:tcW w:w="2156"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16"/>
                <w:szCs w:val="16"/>
              </w:rPr>
            </w:pPr>
          </w:p>
        </w:tc>
        <w:tc>
          <w:tcPr>
            <w:tcW w:w="192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退休教师满意度</w:t>
            </w:r>
          </w:p>
        </w:tc>
        <w:tc>
          <w:tcPr>
            <w:tcW w:w="165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≥95%</w:t>
            </w:r>
          </w:p>
        </w:tc>
        <w:tc>
          <w:tcPr>
            <w:tcW w:w="1870"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16"/>
                <w:szCs w:val="16"/>
              </w:rPr>
            </w:pPr>
            <w:r>
              <w:rPr>
                <w:rFonts w:hint="eastAsia" w:ascii="宋体" w:hAnsi="宋体" w:eastAsia="宋体" w:cs="宋体"/>
                <w:kern w:val="0"/>
                <w:sz w:val="16"/>
                <w:szCs w:val="16"/>
              </w:rPr>
              <w:t>95%</w:t>
            </w:r>
          </w:p>
        </w:tc>
      </w:tr>
    </w:tbl>
    <w:p>
      <w:pPr>
        <w:rPr>
          <w:rFonts w:ascii="仿宋" w:hAnsi="仿宋" w:eastAsia="仿宋" w:cs="宋体"/>
          <w:color w:val="333333"/>
          <w:sz w:val="32"/>
          <w:szCs w:val="32"/>
          <w:lang w:bidi="ar"/>
        </w:rPr>
      </w:pPr>
    </w:p>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abstractNum w:abstractNumId="1">
    <w:nsid w:val="74325DB9"/>
    <w:multiLevelType w:val="singleLevel"/>
    <w:tmpl w:val="74325DB9"/>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F91672"/>
    <w:rsid w:val="03F938D7"/>
    <w:rsid w:val="04821656"/>
    <w:rsid w:val="0526119E"/>
    <w:rsid w:val="0A0B31AA"/>
    <w:rsid w:val="0B0331BC"/>
    <w:rsid w:val="0E9A5E97"/>
    <w:rsid w:val="11BA70CB"/>
    <w:rsid w:val="1BBD594A"/>
    <w:rsid w:val="1EB60E4D"/>
    <w:rsid w:val="23136926"/>
    <w:rsid w:val="2B4E4912"/>
    <w:rsid w:val="2DFC4F90"/>
    <w:rsid w:val="39821D45"/>
    <w:rsid w:val="3A8E657D"/>
    <w:rsid w:val="41040A2B"/>
    <w:rsid w:val="426348EB"/>
    <w:rsid w:val="44636EAE"/>
    <w:rsid w:val="5C62665A"/>
    <w:rsid w:val="5CA932DF"/>
    <w:rsid w:val="616736C8"/>
    <w:rsid w:val="7DF409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6260</Words>
  <Characters>6842</Characters>
  <Lines>72</Lines>
  <Paragraphs>20</Paragraphs>
  <TotalTime>7</TotalTime>
  <ScaleCrop>false</ScaleCrop>
  <LinksUpToDate>false</LinksUpToDate>
  <CharactersWithSpaces>6860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2022-05-26T04:12:13Z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